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附件：</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2018—2020年农机购置补贴实施指导意见</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一、总体要求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二、补贴范围和补贴机具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中央财政资金全国农机购置补贴机具种类范围（以下简称“补贴范围”）为15大类42个小类137个品目（详见附件1）。各省（自治区、直辖市）及计划单列市、新疆生产建设兵团、黑龙江省农垦总局、广东省农垦总局（以下简称“各省”），根据农业生产实际需要和补贴资金规模，按照公开、公平、公正原则，从上述补贴范围中选取确定本省补贴机具品目，实行补贴范围内机具敞开补贴。要优先保证粮食等主要农产品生产所需机具和深松整地、免耕播种、高效植保、节水灌溉、高效施肥、秸秆还田离田、残膜回收、畜禽粪污资源化利用、病死畜禽无害化处理等支持农业绿色发展机具的补贴需要，逐步将区域内保有量明显过多、技术相对落后、需求量小的机具品目剔除出补贴范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此外，各省可选择不超过3个品目的产品开展农机新产品购置补贴试点（以下简称“新产品试点”），重点支持绿色生态导向和丘陵山区特色产业适用机具。农机购置补贴机具资质采信农机产品认证结果和新产品试点具体办法另行规定。鼓励有意愿的省份开展扩大补贴机具资质采信试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补贴范围应保持总体稳定，必要的调整按年度进行。对经过新产品试点基本成熟、取得资质条件的品目，可依程序按年度纳入补贴范围。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地方特色农业发展所需和小区域适用性强的机具，可列入地方各级财政安排资金的补贴范围，具体补贴机具品目和补贴标准由地方自定。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三、补贴对象和补贴标准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中央财政农机购置补贴实行定额补贴，补贴额由各省农机化主管部门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为提高资金使用效益、减少具体产品补贴标准过高的情形，各省也可采取定额与比例相结合等其他方式确定补贴额，具体由各省结合实际自主确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大型棉花采摘机单机补贴额不超过60万元。</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西藏和新疆南疆五地州（含南疆垦区）继续按照《农业部办公厅 财政部办公厅关于在西藏和新疆南疆地区开展差别化农机购置补贴试点的通知》（农办财〔2017〕19号）执行。在多个省份进行补贴的机具品目，相关省农机化主管部门要加强信息共享，力求分档和补贴额相对统一稳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优化调整该产品补贴额。</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四、资金分配使用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农机购置补贴支出主要用于支持购置先进适用农业机械，以及开展农机报废更新补贴试点等方面。鼓励各省积极开展农机报废更新补贴试点，加快淘汰耗能高、污染重、安全性能低的老旧农机具。鼓励相关省份采取融资租赁、贴息贷款等形式，支持购置大型农业机械。各省农机化主管部门要会同财政部门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财政部门要会同农机化主管部门加强资金监管，定期调度和发布资金使用进度，强化区域内资金余缺动态调剂，避免出现资金大量结转。上年结转资金可继续在下年使用，连续两年未用完的，按有关规定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对省属管理体制的地方垦区和海拉尔、大兴安岭垦区的补贴资金规模，要结合农垦改革，由省级财政部门与农机化主管部门、农垦主管部门协商确定，统一纳入各省补贴资金分配方案。其他市、县属地方垦区国有农场的农机购置补贴，按所在市、县农机购置补贴政策规定实施。</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地方各级财政部门要增加资金投入，保证补贴工作实施必要的组织管理经费。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五、操作流程</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农机购置补贴政策实施实行自主购机、定额补贴、先购后补、县级结算、直补到卡（户）。</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（一）发布实施规定。省级及以下农机化主管部门、财政部门按职责分工和有关规定发布本地区农机购置补贴实施方案、补贴额一览表等信息。</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组织机具投档。自愿参与农机购置补贴的农机生产企业按规定提交有关资料。各省农机化主管部门组织开展形式审核，集中公布投档产品信息汇总表。各省应在本省补贴实施方案中明确投档频次和工作安排，原则上每年投档次数不少于两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自主选机购机。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补贴资金申请。购机者自主向当地农机化主管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各地可结合实际，设置购机者年度内享受补贴资金总额的上限及其申请条件等。鼓励有条件的省份探索利用农业部新型农业经营主体信息直报系统实行网上补贴申请试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补贴资金兑付。县级农机化主管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各省应根据上述规定，结合本地实际，进一步细化和制定具体工作流程。</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六、工作要求</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加强领导，密切配合。各级农机化主管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省级农机化主管部门、财政部门要加强制度建设，提升信息化管理水平，做好补贴资金分配调剂、补贴范围确定、补贴额测算和组织补贴机具投档、违规行为查处等工作，督促指导各地全面落实农机购置补贴政策规定。</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地市级农机化主管部门、财政部门要加强对县级农机购置补贴工作的指导，重点开展县级补贴方案审核、补贴资金需求审核、督导检查、违规查处等工作。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县级农机化主管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各省农机化主管部门要指导农机鉴定机构以先进、适用、绿色、高效为原则制定公布鉴定产品种类指南，并及时公开鉴定证书、鉴定结果和产品主要技术规格参数信息，为农机购置补贴政策实施提供有力保障。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（二）规范操作，高效服务。全面运用农机购置补贴辅助管理系统，推广使用补贴机具网络投档软件，探索补贴机具“一机一码”识别管理，提高政策实施信息化水平。</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切实加快补贴申请受理、资格审核、机具核验、受益公示等工作，鼓励在购机集中地或当地政务大厅等开展受理申请、核实登记等“一站式”服务。补贴申领有效期原则上当年有效，因当年财政补贴资金规模不够、办理手续时间紧张等无法享受补贴的，可在下一个年度优先补贴，以稳定购机者补贴申领预期。</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完善补贴机具核验流程，重点加强对大中型机具的核验和单人多台套、短期内大批量等异常申请补贴情形的监管，积极探索实行购机真实性承诺、受益信息实时公开和事后抽查核验相结合的补贴机具监管方式。</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公开信息，接受监督。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加强监管，严惩违规。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明确参与农机购置补贴政策实施的鉴定机构和认证机构的责任义务，加强管理。加强购机者信息保护，配合相关部门严厉打击窃取、倒卖、泄露补贴信息和电信诈骗等不法行为。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全面贯彻落实《农业部办公厅 财政部办公厅关于印发〈农业机械购置补贴产品违规经营行为处理办法（试行）〉的通知》（农办财〔2017〕26号）精神，加快制定本辖区处理细则，加大违规行为查处力度，进一步推进省际间联动联查，严处失信违规主体。</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各省农机化主管部门、财政部门要根据本指导意见，结合实际制定印发本省补贴实施方案（2018—2020年），并抄报农业部、财政部。每年12月15日前，要将全年中央财政农机购置补贴政策实施总结报告报送农业部、财政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附件：1.全国农机购置补贴机具种类范围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2.年度 县（市、旗、场）享受农机购置补贴的购机者信息表</w:t>
      </w:r>
    </w:p>
    <w:p>
      <w:pPr>
        <w:widowControl/>
        <w:spacing w:before="100" w:beforeAutospacing="1" w:after="240"/>
        <w:jc w:val="left"/>
        <w:rPr>
          <w:rFonts w:ascii="Arial" w:hAnsi="Arial" w:eastAsia="宋体" w:cs="Arial"/>
          <w:kern w:val="0"/>
          <w:sz w:val="24"/>
          <w:szCs w:val="24"/>
        </w:rPr>
      </w:pPr>
    </w:p>
    <w:p>
      <w:pPr>
        <w:widowControl/>
        <w:spacing w:before="100" w:beforeAutospacing="1" w:after="240"/>
        <w:jc w:val="left"/>
        <w:rPr>
          <w:rFonts w:ascii="Arial" w:hAnsi="Arial" w:eastAsia="宋体" w:cs="Arial"/>
          <w:kern w:val="0"/>
          <w:sz w:val="24"/>
          <w:szCs w:val="24"/>
        </w:rPr>
      </w:pPr>
      <w:bookmarkStart w:id="0" w:name="_GoBack"/>
      <w:bookmarkEnd w:id="0"/>
      <w:r>
        <w:rPr>
          <w:rFonts w:ascii="Arial" w:hAnsi="Arial" w:eastAsia="宋体" w:cs="Arial"/>
          <w:kern w:val="0"/>
          <w:sz w:val="24"/>
          <w:szCs w:val="24"/>
        </w:rPr>
        <w:t>附件1：</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全国农机购置补贴机具种类范围</w:t>
      </w:r>
    </w:p>
    <w:p>
      <w:pPr>
        <w:widowControl/>
        <w:spacing w:before="100" w:beforeAutospacing="1" w:after="240"/>
        <w:jc w:val="center"/>
        <w:rPr>
          <w:rFonts w:ascii="Arial" w:hAnsi="Arial" w:eastAsia="宋体" w:cs="Arial"/>
          <w:kern w:val="0"/>
          <w:sz w:val="24"/>
          <w:szCs w:val="24"/>
        </w:rPr>
      </w:pPr>
      <w:r>
        <w:rPr>
          <w:rFonts w:ascii="Arial" w:hAnsi="Arial" w:eastAsia="宋体" w:cs="Arial"/>
          <w:kern w:val="0"/>
          <w:sz w:val="24"/>
          <w:szCs w:val="24"/>
        </w:rPr>
        <w:t>（15大类42个小类137个品目）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　1．耕整地机械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1.1耕地机械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1.1.1铧式犁</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1.1.2 旋耕机（含履带自走式旋耕机）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1.1.3 深松机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1.1.4 开沟机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1.1.5 耕整机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1.1.6 微耕机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1.1.7 机滚船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1.1.8 机耕船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1.2整地机械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1.2.1圆盘耙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1.2.2起垄机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1.2.3灭茬机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1.2.4筑埂机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1.2.5铺膜机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1.2.6联合整地机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1.2.7驱动耙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2．种植施肥机械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2.1播种机械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2.1.1条播机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2.1.2穴播机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2.1.3小粒种子播种机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2.1.4根茎作物播种机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2.1.5免耕播种机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2.1.6铺膜播种机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2.1.7水稻直播机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2.1.8旋耕播种机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2.2育苗机械设备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2.2.1种子播前处理设备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2.2.2 营养钵压制机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2.2.3 秧盘播种成套设备（含床土处理）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2.3栽植机械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2.3.1水稻插秧机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2.3.2秧苗移栽机（含甜菜移栽机、水稻钵苗移栽机、水稻抛秧机和油菜栽植机）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2.3.3甘蔗种植机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2.4施肥机械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2.4.1施肥机（含水稻侧深施肥装置）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2.4.2撒肥机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2.4.3追肥机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　3．田间管理机械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3.1中耕机械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3.1.1中耕机（含甘蔗中耕机）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3.1.2培土机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3.1.3埋藤机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3.1.4田园管理机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3.1.5中耕追肥机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3.2植保机械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3.2.1动力喷雾机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3.2.2喷杆喷雾机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3.2.3风送喷雾机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3.3修剪机械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3.3.1茶树修剪机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4．收获机械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4.1谷物收获机械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4.1.1割晒机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4.1.2自走轮式谷物联合收割机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4.1.3自走履带式谷物联合收割机（全喂入）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4.1.4半喂入联合收割机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4.2玉米收获机械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4.2.1自走式玉米收获机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4.2.2自走式玉米籽粒联合收获机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4.2.3穗茎兼收玉米收获机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4.2.4玉米收获专用割台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4.3棉麻作物收获机械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4.3.1棉花收获机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4.4果实收获机械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4.4.1番茄收获机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4.4.2辣椒收获机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4.5蔬菜收获机械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4.5.1果类蔬菜收获机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4.6花卉（茶叶）采收机械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4.6.1采茶机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4.7籽粒作物收获机械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4.7.1油菜籽收获机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4.8根茎作物收获机械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4.8.1薯类收获机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4.8.2甜菜收获机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4.8.3甘蔗收获机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4.8.4甘蔗割铺机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4.8.5花生收获机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4.9饲料作物收获机械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4.9.1割草机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4.9.2搂草机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4.9.3打（压）捆机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4.9.4圆草捆包膜机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4.9.5青饲料收获机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4.10茎秆收集处理机械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4.10.1秸秆粉碎还田机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4.10.2高秆作物割晒机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5．收获后处理机械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5.1脱粒机械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5.1.1稻麦脱粒机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5.1.2玉米脱粒机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5.1.3花生摘果机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5.2清选机械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5.2.1粮食清选机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5.2.2籽棉清理机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5.3干燥机械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5.3.1谷物烘干机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5.3.2果蔬烘干机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5.3.3油菜籽烘干机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5.4种子加工机械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5.4.1种子清选机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　6. 农产品初加工机械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6.1碾米机械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6.1.1碾米机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6.1.2组合米机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6.2磨粉（浆）机械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6.2.1磨粉机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6.2.2磨浆机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6.3果蔬加工机械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6.3.1水果分级机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6.3.2水果清洗机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6.3.3水果打蜡机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6.3.4蔬菜清洗机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6.4茶叶加工机械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6.4.1茶叶杀青机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6.4.2茶叶揉捻机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6.4.3茶叶炒（烘）干机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6.4.4茶叶筛选机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6.4.5茶叶理条机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6.5剥壳（去皮）机械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6.5.1玉米剥皮机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6.5.2花生脱壳机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6.5.3干坚果脱壳机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6.5.4剥（刮）麻机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7．农用搬运机械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7.1运输机械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7.1.1甘蔗田间收集搬运机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7.2装卸机械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7.2.1抓草机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8．排灌机械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8.1水泵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8.1.1离心泵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8.1.2潜水电泵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8.2喷灌机械设备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8.2.1喷灌机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8.2.2微灌设备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8.2.3 灌溉首部（含灌溉水增压设备、过滤设备、水质软化设备、灌溉施肥一体化设备以及营养液消毒设备等）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　9．畜牧机械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9.1饲料（草）加工机械设备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9.1.1铡草机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9.1.2青贮切碎机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9.1.3揉丝机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9.1.4压块机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9.1.5饲料（草）粉碎机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9.1.6饲料混合机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9.1.7颗粒饲料压制机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9.1.8饲料制备（搅拌）机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9.1.9秸秆膨化机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9.2饲养机械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9.2.1孵化机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9.2.2喂料机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9.2.3送料机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9.2.4清粪机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9.2.5粪污固液分离机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9.3畜产品采集加工机械设备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9.3.1挤奶机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9.3.2剪羊毛机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9.3.3贮奶（冷藏）罐</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10．水产机械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10.1水产养殖机械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10.1.1增氧机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10.1.2网箱养殖设备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11．农业废弃物利用处理设备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11.1废弃物处理设备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11.1.1残膜回收机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11.1.2沼液沼渣抽排设备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11.1.3秸秆压块（粒、棒）机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11.1.4病死畜禽无害化处理设备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　12．农田基本建设机械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12.1平地机械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12.1.1平地机（含激光平地机）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13．设施农业设备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13.1温室大棚设备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13.1.1电动卷帘机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13.1.2热风炉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13.1.3加温系统（含燃油热风炉、热水加温系统）</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13.1.4水帘降温设备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14．动力机械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14.1拖拉机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14.1.1轮式拖拉机（不含皮带传动轮式拖拉机）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14.1.2手扶拖拉机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14.1.3履带式拖拉机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15．其他机械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15.1养蜂设备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15.1.1养蜂平台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15.2其他机械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15.2.1简易保鲜储藏设备</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15.2.2农业用北斗终端（含渔船用）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15.2.3水井钻机</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15.2.4沼气发电机组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15.2.5天然橡胶初加工专用机械</w:t>
      </w:r>
    </w:p>
    <w:p>
      <w:pPr>
        <w:widowControl/>
        <w:spacing w:before="100" w:beforeAutospacing="1" w:after="240"/>
        <w:jc w:val="left"/>
        <w:rPr>
          <w:rFonts w:ascii="Arial" w:hAnsi="Arial" w:eastAsia="宋体" w:cs="Arial"/>
          <w:kern w:val="0"/>
          <w:sz w:val="24"/>
          <w:szCs w:val="24"/>
        </w:rPr>
      </w:pPr>
    </w:p>
    <w:p>
      <w:pPr>
        <w:widowControl/>
        <w:spacing w:before="100" w:beforeAutospacing="1" w:after="240"/>
        <w:jc w:val="left"/>
        <w:rPr>
          <w:rFonts w:ascii="Arial" w:hAnsi="Arial" w:eastAsia="宋体" w:cs="Arial"/>
          <w:kern w:val="0"/>
          <w:sz w:val="24"/>
          <w:szCs w:val="24"/>
        </w:rPr>
      </w:pPr>
    </w:p>
    <w:p>
      <w:pPr>
        <w:widowControl/>
        <w:spacing w:before="100" w:beforeAutospacing="1" w:after="240"/>
        <w:jc w:val="left"/>
        <w:rPr>
          <w:rFonts w:ascii="Arial" w:hAnsi="Arial" w:eastAsia="宋体" w:cs="Arial"/>
          <w:kern w:val="0"/>
          <w:sz w:val="24"/>
          <w:szCs w:val="24"/>
        </w:rPr>
      </w:pPr>
    </w:p>
    <w:p>
      <w:pPr>
        <w:widowControl/>
        <w:spacing w:before="100" w:beforeAutospacing="1" w:after="240"/>
        <w:jc w:val="left"/>
        <w:rPr>
          <w:rFonts w:ascii="Arial" w:hAnsi="Arial" w:eastAsia="宋体" w:cs="Arial"/>
          <w:kern w:val="0"/>
          <w:sz w:val="24"/>
          <w:szCs w:val="24"/>
        </w:rPr>
      </w:pPr>
    </w:p>
    <w:p>
      <w:pPr>
        <w:widowControl/>
        <w:spacing w:before="100" w:beforeAutospacing="1" w:after="240"/>
        <w:jc w:val="left"/>
        <w:rPr>
          <w:rFonts w:ascii="Arial" w:hAnsi="Arial" w:eastAsia="宋体" w:cs="Arial"/>
          <w:kern w:val="0"/>
          <w:sz w:val="24"/>
          <w:szCs w:val="24"/>
        </w:rPr>
      </w:pPr>
    </w:p>
    <w:p>
      <w:pPr>
        <w:widowControl/>
        <w:spacing w:before="100" w:beforeAutospacing="1" w:after="240"/>
        <w:jc w:val="left"/>
        <w:rPr>
          <w:rFonts w:ascii="Arial" w:hAnsi="Arial" w:eastAsia="宋体" w:cs="Arial"/>
          <w:kern w:val="0"/>
          <w:sz w:val="24"/>
          <w:szCs w:val="24"/>
        </w:rPr>
      </w:pP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附件2：</w:t>
      </w:r>
    </w:p>
    <w:p>
      <w:pPr>
        <w:widowControl/>
        <w:spacing w:before="100" w:beforeAutospacing="1"/>
        <w:jc w:val="center"/>
        <w:rPr>
          <w:rFonts w:ascii="Arial" w:hAnsi="Arial" w:eastAsia="宋体" w:cs="Arial"/>
          <w:kern w:val="0"/>
          <w:sz w:val="24"/>
          <w:szCs w:val="24"/>
        </w:rPr>
      </w:pPr>
      <w:r>
        <w:rPr>
          <w:rFonts w:ascii="Arial" w:hAnsi="Arial" w:eastAsia="宋体" w:cs="Arial"/>
          <w:kern w:val="0"/>
          <w:sz w:val="24"/>
          <w:szCs w:val="24"/>
        </w:rPr>
        <w:t>　　</w:t>
      </w:r>
      <w:r>
        <w:rPr>
          <w:rFonts w:ascii="Arial" w:hAnsi="Arial" w:eastAsia="宋体" w:cs="Arial"/>
          <w:b/>
          <w:bCs/>
          <w:kern w:val="0"/>
          <w:sz w:val="24"/>
          <w:szCs w:val="24"/>
        </w:rPr>
        <w:t>年度  县（市、旗、场）享受农机购置补贴的购机者信息表</w:t>
      </w:r>
    </w:p>
    <w:tbl>
      <w:tblPr>
        <w:tblStyle w:val="3"/>
        <w:tblW w:w="704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345"/>
        <w:gridCol w:w="847"/>
        <w:gridCol w:w="347"/>
        <w:gridCol w:w="347"/>
        <w:gridCol w:w="347"/>
        <w:gridCol w:w="347"/>
        <w:gridCol w:w="340"/>
        <w:gridCol w:w="357"/>
        <w:gridCol w:w="367"/>
        <w:gridCol w:w="860"/>
        <w:gridCol w:w="847"/>
        <w:gridCol w:w="847"/>
        <w:gridCol w:w="84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序号</w:t>
            </w:r>
          </w:p>
        </w:tc>
        <w:tc>
          <w:tcPr>
            <w:tcW w:w="154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购机者</w:t>
            </w:r>
          </w:p>
        </w:tc>
        <w:tc>
          <w:tcPr>
            <w:tcW w:w="3465" w:type="dxa"/>
            <w:gridSpan w:val="7"/>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补贴机具</w:t>
            </w:r>
          </w:p>
        </w:tc>
        <w:tc>
          <w:tcPr>
            <w:tcW w:w="169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补贴资金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Arial" w:hAnsi="Arial" w:eastAsia="宋体" w:cs="Arial"/>
                <w:kern w:val="0"/>
                <w:sz w:val="24"/>
                <w:szCs w:val="24"/>
              </w:rPr>
            </w:pPr>
          </w:p>
        </w:tc>
        <w:tc>
          <w:tcPr>
            <w:tcW w:w="84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所在乡（镇）</w:t>
            </w:r>
          </w:p>
        </w:tc>
        <w:tc>
          <w:tcPr>
            <w:tcW w:w="34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所在村组</w:t>
            </w:r>
          </w:p>
        </w:tc>
        <w:tc>
          <w:tcPr>
            <w:tcW w:w="34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购机者姓名</w:t>
            </w:r>
          </w:p>
        </w:tc>
        <w:tc>
          <w:tcPr>
            <w:tcW w:w="34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机具品目</w:t>
            </w:r>
          </w:p>
        </w:tc>
        <w:tc>
          <w:tcPr>
            <w:tcW w:w="34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生产厂家</w:t>
            </w:r>
          </w:p>
        </w:tc>
        <w:tc>
          <w:tcPr>
            <w:tcW w:w="34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产品名称</w:t>
            </w:r>
          </w:p>
        </w:tc>
        <w:tc>
          <w:tcPr>
            <w:tcW w:w="35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购买机型</w:t>
            </w:r>
          </w:p>
        </w:tc>
        <w:tc>
          <w:tcPr>
            <w:tcW w:w="36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经 销 商</w:t>
            </w:r>
          </w:p>
        </w:tc>
        <w:tc>
          <w:tcPr>
            <w:tcW w:w="86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购买数量（台）</w:t>
            </w:r>
          </w:p>
        </w:tc>
        <w:tc>
          <w:tcPr>
            <w:tcW w:w="84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单台销售价格（元）</w:t>
            </w:r>
          </w:p>
        </w:tc>
        <w:tc>
          <w:tcPr>
            <w:tcW w:w="847"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单台补贴额（元）</w:t>
            </w:r>
          </w:p>
        </w:tc>
        <w:tc>
          <w:tcPr>
            <w:tcW w:w="84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总补贴额（元）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45"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4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5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36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44" w:type="dxa"/>
            <w:gridSpan w:val="9"/>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合计</w:t>
            </w:r>
          </w:p>
        </w:tc>
        <w:tc>
          <w:tcPr>
            <w:tcW w:w="860"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7"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c>
          <w:tcPr>
            <w:tcW w:w="846" w:type="dxa"/>
            <w:tcBorders>
              <w:top w:val="outset" w:color="000000" w:sz="6" w:space="0"/>
              <w:left w:val="outset" w:color="000000" w:sz="6" w:space="0"/>
              <w:bottom w:val="outset" w:color="000000" w:sz="6" w:space="0"/>
              <w:right w:val="outset" w:color="000000" w:sz="6" w:space="0"/>
            </w:tcBorders>
          </w:tcPr>
          <w:p>
            <w:pPr>
              <w:widowControl/>
              <w:spacing w:after="240"/>
              <w:jc w:val="left"/>
              <w:rPr>
                <w:rFonts w:ascii="Arial" w:hAnsi="Arial" w:eastAsia="宋体" w:cs="Arial"/>
                <w:kern w:val="0"/>
                <w:sz w:val="24"/>
                <w:szCs w:val="24"/>
              </w:rPr>
            </w:pPr>
            <w:r>
              <w:rPr>
                <w:rFonts w:ascii="Arial" w:hAnsi="Arial" w:eastAsia="宋体" w:cs="Arial"/>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D5705"/>
    <w:rsid w:val="678D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2019-01-02T02:26:00Z</dcterms:created>
  <dc:creator>Administrator</dc:creator>
  <cp:lastModifiedBy>Administrator</cp:lastModifiedBy>
  <dcterms:modified xsi:type="dcterms:W3CDTF">2019-01-02T02:28:54Z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