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附件：</w:t>
      </w:r>
    </w:p>
    <w:p>
      <w:pPr>
        <w:widowControl/>
        <w:spacing w:before="100" w:beforeAutospacing="1" w:after="240"/>
        <w:jc w:val="center"/>
        <w:rPr>
          <w:rFonts w:ascii="Arial" w:hAnsi="Arial" w:eastAsia="宋体" w:cs="Arial"/>
          <w:kern w:val="0"/>
          <w:sz w:val="24"/>
          <w:szCs w:val="24"/>
        </w:rPr>
      </w:pPr>
      <w:bookmarkStart w:id="0" w:name="_GoBack"/>
      <w:r>
        <w:rPr>
          <w:rFonts w:ascii="Arial" w:hAnsi="Arial" w:eastAsia="宋体" w:cs="Arial"/>
          <w:b/>
          <w:bCs/>
          <w:kern w:val="0"/>
          <w:sz w:val="24"/>
          <w:szCs w:val="24"/>
        </w:rPr>
        <w:t>政府采购代理机构管理暂行办法</w:t>
      </w:r>
    </w:p>
    <w:bookmarkEnd w:id="0"/>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第一章    总则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第一条 为加强政府采购代理机构监督管理,促进政府采购代理机构规范发展，根据《中华人民共和国政府采购法》《中华人民共和国政府采购法实施条例》等法律法规，制定本办法。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第二条 本办法所称政府采购代理机构（以下简称代理机构）是指集中采购机构以外、受采购人委托从事政府采购代理业务的社会中介机构。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第三条 代理机构的名录登记、从业管理、信用评价及监督检查适用本办法。</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第四条 各级人民政府财政部门（以下简称财政部门）依法对代理机构从事政府采购代理业务进行监督管理。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第五条 财政部门应当加强对代理机构的政府采购业务培训，不断提高代理机构专业化水平。鼓励社会力量开展培训，增强代理机构业务能力。</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第二章  名录登记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第六条  代理机构实行名录登记管理。省级财政部门依托中国政府采购网省级分网（以下简称省级分网）建立政府采购代理机构名录（以下简称名录）。名录信息全国共享并向社会公开。</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第七条  代理机构应当通过工商登记注册地（以下简称注册地）省级分网填报以下信息申请进入名录，并承诺对信息真实性负责：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（一）代理机构名称、统一社会信用代码、办公场所地址、联系电话等机构信息；</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（二）法定代表人及专职从业人员有效身份证明等个人信息；</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（三）内部监督管理制度；</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（四）在自有场所组织评审工作的，应当提供评审场所地址、监控设备设施情况；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（五）省级财政部门要求提供的其他材料。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登记信息发生变更的，代理机构应当在信息变更之日起10个工作日内自行更新。</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第八条 代理机构登记信息不完整的，财政部门应当及时告知其完善登记资料;代理机构登记信息完整清晰的，财政部门应当及时为其开通相关政府采购管理交易系统信息发布、专家抽取等操作权限。</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第九条 代理机构在其注册地省级行政区划以外从业的，应当向从业地财政部门申请开通政府采购管理交易系统相关操作权限，从业地财政部门不得要求其重复提交登记材料，不得强制要求其在从业地设立分支机构。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第十条 代理机构注销时，应当向相关采购人移交档案，并及时向注册地所在省级财政部门办理名录注销手续。</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第三章 从业管理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第十一条 代理机构代理政府采购业务应当具备以下条件：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（一）具有独立承担民事责任的能力；</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（二）建立完善的政府采购内部监督管理制度；</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（三）拥有不少于5名熟悉政府采购法律法规、具备编制采购文件和组织采购活动等相应能力的专职从业人员；</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（四）具备独立办公场所和代理政府采购业务所必需的办公条件；</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（五）在自有场所组织评审工作的，应当具备必要的评审场地和录音录像等监控设备设施并符合省级人民政府规定的标准。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第十二条  采购人应当根据项目特点、代理机构专业领域和综合信用评价结果，从名录中自主择优选择代理机构。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任何单位和个人不得以摇号、抽签、遴选等方式干预采购人自行选择代理机构。</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第十三条 代理机构受采购人委托办理采购事宜，应当与采购人签订委托代理协议，明确采购代理范围、权限、期限、档案保存、代理费用收取方式及标准、协议解除及终止、违约责任等具体事项，约定双方权利义务。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第十四条 代理机构应当严格按照委托代理协议的约定依法依规开展政府采购代理业务，相关开标及评审活动应当全程录音录像，录音录像应当清晰可辨，音像资料作为采购文件一并存档。</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第十五条 代理费用可以由中标、成交供应商支付，也可由采购人支付。由中标、成交供应商支付的，供应商报价应当包含代理费用。代理费用超过分散采购限额标准的，原则上由中标、成交供应商支付。</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代理机构应当在采购文件中明示代理费用收取方式及标准，随中标、成交结果一并公开本项目收费情况，包括具体收费标准及收费金额等。</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第十六条 采购人和代理机构在委托代理协议中约定由代理机构负责保存采购文件的，代理机构应当妥善保存采购文件，不得伪造、变造、隐匿或者销毁采购文件。采购文件的保存期限为从采购结束之日起至少十五年。</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采购文件可以采用电子档案方式保存。采用电子档案方式保存采购文件的，相关电子档案应当符合《中华人民共和国档案法》《中华人民共和国电子签名法》等法律法规的要求。</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第四章 信用评价及监督检查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第十七条 财政部门负责组织开展代理机构综合信用评价工作。采购人、供应商和评审专家根据代理机构的从业情况对代理机构的代理活动进行综合信用评价。综合信用评价结果应当全国共享。</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第十八条 采购人、评审专家应当在采购活动或评审活动结束后5个工作日内，在政府采购信用评价系统中记录代理机构的职责履行情况。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供应商可以在采购活动结束后5个工作日内，在政府采购信用评价系统中记录代理机构的职责履行情况。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代理机构可以在政府采购信用评价系统中查询本机构的职责履行情况，并就有关情况作出说明。</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第十九条 财政部门应当建立健全定向抽查和不定向抽查相结合的随机抽查机制。对存在违法违规线索的政府采购项目开展定向检查；对日常监管事项，通过随机抽取检查对象、随机选派执法检查人员等方式开展不定向检查。</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财政部门可以根据综合信用评价结果合理优化对代理机构的监督检查频次。</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第二十条  财政部门应当依法加强对代理机构的监督检查，监督检查包括以下内容：</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（一）代理机构名录信息的真实性；</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（二）委托代理协议的签订和执行情况；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（三）采购文件编制与发售、评审组织、信息公告发布、评审专家抽取及评价情况；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（四）保证金收取及退还情况，中标或者成交供应商的通知情况；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（五）受托签订政府采购合同、协助采购人组织验收情况；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（六）答复供应商质疑、配合财政部门处理投诉情况；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（七）档案管理情况；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（八）其他政府采购从业情况。</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第二十一条  对代理机构的监督检查结果应当在省级以上财政部门指定的政府采购信息发布媒体向社会公开。</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第二十二条  受到财政部门禁止代理政府采购业务处罚的代理机构，应当及时停止代理业务，已经签订委托代理协议的项目，按下列情况分别处理：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（一）尚未开始执行的项目，应当及时终止委托代理协议；</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（二）已经开始执行的项目，可以终止的应当及时终止，确因客观原因无法终止的应当妥善做好善后工作。</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第二十三条  代理机构及其工作人员违反政府采购法律法规的行为，依照政府采购法律法规进行处理；涉嫌犯罪的，依法移送司法机关处理。</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代理机构的违法行为给他人造成损失的，依法承担民事责任。</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第二十四条 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有关规定追究相关责任；涉嫌犯罪的，依法移送司法机关处理。</w:t>
      </w:r>
    </w:p>
    <w:p>
      <w:pPr>
        <w:widowControl/>
        <w:spacing w:before="100" w:beforeAutospacing="1" w:after="240"/>
        <w:jc w:val="center"/>
        <w:rPr>
          <w:rFonts w:ascii="Arial" w:hAnsi="Arial" w:eastAsia="宋体" w:cs="Arial"/>
          <w:kern w:val="0"/>
          <w:sz w:val="24"/>
          <w:szCs w:val="24"/>
        </w:rPr>
      </w:pPr>
      <w:r>
        <w:rPr>
          <w:rFonts w:ascii="Arial" w:hAnsi="Arial" w:eastAsia="宋体" w:cs="Arial"/>
          <w:b/>
          <w:bCs/>
          <w:kern w:val="0"/>
          <w:sz w:val="24"/>
          <w:szCs w:val="24"/>
        </w:rPr>
        <w:t>第五章 附则</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第二十五条 政府采购行业协会按照依法制定的章程开展活动，加强代理机构行业自律。</w:t>
      </w:r>
    </w:p>
    <w:p>
      <w:pPr>
        <w:widowControl/>
        <w:spacing w:before="100" w:beforeAutospacing="1" w:after="240"/>
        <w:jc w:val="left"/>
        <w:rPr>
          <w:rFonts w:ascii="Arial" w:hAnsi="Arial" w:eastAsia="宋体" w:cs="Arial"/>
          <w:kern w:val="0"/>
          <w:sz w:val="24"/>
          <w:szCs w:val="24"/>
        </w:rPr>
      </w:pPr>
      <w:r>
        <w:rPr>
          <w:rFonts w:ascii="Arial" w:hAnsi="Arial" w:eastAsia="宋体" w:cs="Arial"/>
          <w:kern w:val="0"/>
          <w:sz w:val="24"/>
          <w:szCs w:val="24"/>
        </w:rPr>
        <w:t>　　第二十六条 省级财政部门可根据本办法规定制定具体实施办法。</w:t>
      </w:r>
    </w:p>
    <w:p>
      <w:r>
        <w:rPr>
          <w:rFonts w:ascii="Arial" w:hAnsi="Arial" w:eastAsia="宋体" w:cs="Arial"/>
          <w:kern w:val="0"/>
          <w:sz w:val="24"/>
          <w:szCs w:val="24"/>
        </w:rPr>
        <w:t>　　第二十七条 本办法自2018年3月1日施行。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81A83"/>
    <w:rsid w:val="4548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2018-12-29T02:11:00Z</dcterms:created>
  <dc:creator>Administrator</dc:creator>
  <cp:lastModifiedBy>Administrator</cp:lastModifiedBy>
  <dcterms:modified xsi:type="dcterms:W3CDTF">2018-12-29T02:12:34Z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