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就业补助资金管理办法</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第一章 总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第一条 为落实好各项就业政策，规范就业补助资金管理，提高资金使用效益，根据《中华人民共和国预算法》《中华人民共和国就业促进法》等相关法律法规，制定本办法。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第二条 本办法所称就业补助资金是由县级以上人民政府设立，由本级财政部门会同人力资源社会保障部门（以下简称人社部门）管理，通过一般公共预算安排用于促进就业创业的专项资金。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第三条 就业补助资金管理应遵循以下原则：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（一）注重普惠，重点倾斜。落实国家普惠性的就业创业政策，重点支持就业困难群体就业创业，适度向中西部地区、就业工作任务重地区倾斜，促进各类劳动者公平就业，推动地区间就业协同发展。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（二）奖补结合，激励相容。优化机制设计，奖补结合，充分发挥各级政策执行部门、政策对象等积极性。</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（三）易于操作，精准效能。提高政策可操作性和精准性，加强监督与控制，以绩效导向、结果导向强化就业补助资金管理。</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第二章 资金支出范围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第四条 就业补助资金分为对个人和单位的补贴、公共就业服务能力建设补助两类。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同一项目就业补助资金补贴与失业保险待遇有重复的，个人和单位不可重复享受。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第五条 享受职业培训补贴的人员范围包括：贫困家庭子女、毕业年度高校毕业生（含技师学院高级工班、预备技师班和特殊教育院校职业教育类毕业生，下同）、城乡未继续升学的应届初高中毕业生、农村转移就业劳动者、城镇登记失业人员（以下简称五类人员），以及符合条件的企业职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职业培训补贴用于以下方面：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五类人员就业技能培训和创业培训。对参加就业技能培训和创业培训的五类人员，培训后取得职业资格证书的（或职业技能等级证书、专项职业能力证书、培训合格证书，下同），给予一定标准的职业培训补贴。各地应当精准对接产业发展需求和受教育者需求，定期发布重点产业职业培训需求指导目录，对指导目录内的职业培训，可适当提高补贴标准。对为城乡未继续升学的应届初高中毕业生垫付劳动预备制培训费的培训机构，给予一定标准的职业培训补贴。其中农村学员和城市低保家庭学员参加劳动预备制培训的，同时给予一定标准的生活费补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符合条件的企业职工岗位技能培训。对企业新录用的五类人员，与企业签订1年以上期限劳动合同、并于签订劳动合同之日起1年内参加由企业依托所属培训机构或政府认定的培训机构开展岗位技能培训的，在取得职业资格证书后给予职工个人或企业一定标准的职业培训补贴。对按国家有关规定参加企业新型学徒制培训、技师培训的企业在职职工，培训后取得职业资格证书的，给予职工个人或企业一定标准的职业培训补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符合条件人员项目制培训。各地人社、财政部门可通过项目制方式，向政府认定的培训机构整建制购买就业技能培训或创业培训项目，为化解钢铁煤炭煤电行业过剩产能企业失业人员（以下简称去产能失业人员）、建档立卡贫困劳动力免费提供就业技能培训或创业培训。对承担项目制培训任务的培训机构，给予一定标准的职业培训补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第六条 对通过初次职业技能鉴定并取得职业资格证书（不含培训合格证）的五类人员，给予职业技能鉴定补贴。对纳入重点产业职业资格和职业技能等级评定指导目录的，可适当提高补贴标准。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第七条 享受社会保险补贴的人员范围包括：符合《就业促进法》规定的就业困难人员和高校毕业生。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社会保险补贴用于以下方面：</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高校毕业生社会保险补贴。对招用毕业年度高校毕业生，与之签订1年以上劳动合同并为其缴纳社会保险费的小微企业，给予最长不超过1年的社会保险补贴，不包括高校毕业生个人应缴纳的部分。对离校1年内未就业的高校毕业生灵活就业后缴纳的社会保险费，给予一定数额的社会保险补贴，补贴标准原则上不超过其实际缴费的2/3，补贴期限最长不超过2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第八条 享受公益性岗位补贴的人员范围为就业困难人员，重点是大龄失业人员和零就业家庭人员。</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对公益性岗位安置的就业困难人员给予岗位补贴，补贴标准参照当地最低工资标准执行。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公益性岗位补贴期限，除对距法定退休年龄不足5年的就业困难人员可延长至退休外，其余人员最长不超过3年（以初次核定其享受公益性岗位补贴时年龄为准）。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第九条 对首次创办小微企业或从事个体经营，且所创办企业或个体工商户自工商登记注册之日起正常运营1年以上的离校2年内高校毕业生、就业困难人员，试点给予一次性创业补贴。具体试点办法由省级财政、人社部门另行制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第十条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第十一条 对在毕业年度有就业创业意愿并积极求职创业的低保家庭、贫困残疾人家庭、建档立卡贫困家庭和特困人员中的高校毕业生，残疾及获得国家助学贷款的高校毕业生，给予一次性求职创业补贴。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第十二条 就业创业服务补助用于加强公共就业创业服务机构服务能力建设，重点支持信息网络系统建设及维护，公共就业创业服务机构及其与高校开展的招聘活动和创业服务，对创业孵化基地给予奖补，以及向社会购买基本就业创业服务成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第十三条 高技能人才培养补助重点用于高技能人才培训基地建设和技能大师工作室建设等支出。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第十四条 其他支出是指各地经省级人民政府批准，符合中央专项转移支付相关管理规定，确需新增的项目支出。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第十五条 就业补助资金中对个人和单位的补贴资金的具体标准，在符合以上原则规定的基础上，由省级财政、人社部门结合当地实际确定。各地要严格控制就业创业服务补助的支出比例。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第十六条 就业补助资金不得用于以下支出：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（一）办公用房建设支出。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（二）职工宿舍建设支出。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（三）购置交通工具支出。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（四）发放工作人员津贴补贴等支出。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（五）“三公”经费支出。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（六）普惠金融项下创业担保贷款（原小额担保贷款，下同）贴息及补充创业担保贷款基金相关支出。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（七）部门预算已安排支出。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（八）法律法规禁止的其他支出。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个人、单位按照本办法申领获得的补贴资金，具体用途可由申请人或申请单位确定，不受本条规定限制。</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第三章 资金分配与下达</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第十七条 中央财政就业补助资金实行因素法分配。</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分配因素包括基础因素、投入因素和绩效因素三类。其中：</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（一）基础因素主要根据劳动力人口等指标，重点考核就业工作任务量。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（二）投入因素主要根据地方政府就业补助资金的安排使用等指标，重点考核地方投入力度。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（三）绩效因素主要根据各地失业率和新增就业人数等指标，重点考核各地落实各项就业政策的成效。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每年分配资金选择的因素、权重、方式及增减幅上下限，可根据年度就业整体形势和工作任务重点适当调整。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第十八条 地方可对公共就业服务能力建设补助资金中的高技能人才培养补助资金，实行项目管理，各地人社部门应当编制高技能人才培养中长期规划，确定本地区支持的高技能人才重点领域。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各省级人社部门每年需会同财政部门组织专家对拟实施高技能人才培养项目进行评审，省级财政部门会同人社部门根据评审结果给予定额补助，评审结果需报人力资源社会保障部和财政部备案。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第十九条 财政部会同人力资源社会保障部于每年10月31日前将下一年度就业补助资金预计数下达至各省级财政和人社部门；每年在全国人民代表大会审查批准中央预算后90日内，正式下达中央财政就业补助资金预算。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第二十条 各省级财政、人社部门应在收到中央财政就业补助资金后30日内，正式下达到市、县级财政和人社部门；省、市级财政、人社部门应当将本级政府预算安排给下级政府的就业补助资金在本级人民代表大会批准预算后60日内正式下达到下级财政、人社部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地方各级财政、人社部门应对其使用的就业补助资金提出明确的资金管理要求，及时组织实施各项就业创业政策。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第二十一条 就业补助资金应按照财政部关于专项转移支付绩效目标管理的规定，做好绩效目标的设定、审核、下达工作。</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第四章 资金申请与使用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第二十二条 职业培训补贴实行“先垫后补”和“信用支付”等办法。有条件的地区应探索为劳动者建立职业培训个人信用账户,鼓励劳动者自主选择培训机构和课程，并通过信用账户支付培训费用。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申请职业培训补贴资金根据资金的具体用途分别遵循以下要求：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五类人员申请就业技能培训和创业培训补贴应向当地人社部门提供以下材料：《就业创业证》（或《就业失业登记证》、《社会保障卡》，下同）复印件、职业资格证书复印件、培训机构开具的行政事业性收费票据（或税务发票，下同）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职业培训机构为城乡未继续升学的初高中毕业生、贫困家庭子女、城镇登记失业人员代为申请职业培训补贴的，还应提供以下材料：身份证复印件（城镇登记失业人员凭《就业创业证》复印件）、初高中毕业证书复印件、代为申请协议；城市低保家庭学员的生活费补贴申请材料还应附城市居民最低生活保障证明材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符合条件的企业在职职工申请技能培训补贴应向当地人社部门提供以下材料：职业资格证书复印件、培训机构出具的行政事业性收费票据等。企业为在职职工申请新型学徒制培训补贴应提供以下材料：职业资格证书复印件、培训机构出具的行政事业性收费票据等。企业在开展技师培训或新型学徒制培训前，还应将培训计划、培训人员花名册、劳动合同复印件等有关材料报当地人社部门备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职业培训机构为去产能失业人员、建档立卡贫困劳动力开展项目制培训的，申请补贴资金应向委托培训的人社部门提供以下材料：身份证复印件、职业资格证书复印件、培训机构开具的行政事业性收费票据、培训计划和大纲、培训内容和教材、授课教师信息、全程授课视频资料等。培训机构在开展项目制培训前，还应将培训计划和大纲、培训人员花名册等有关材料报当地人社部门备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上述申请材料经人社部门审核后，对五类人员和企业在职职工个人申请的培训补贴或生活费补贴资金，按规定支付到申请者本人个人银行账户或个人信用账户；对企业和培训机构代为申请或直补培训机构的培训补贴资金，按规定支付到企业和培训机构在银行开立的基本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第二十三条 五类人员申请职业技能鉴定补贴应向当地人社部门提供以下材料：《就业创业证》复印件、职业资格证书复印件、职业技能鉴定机构开具的行政事业性收费票据（或税务发票）等。经人社部门审核后，按规定将补贴资金支付到申请者本人个人银行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第二十四条 社会保险补贴实行“先缴后补”，并根据资金具体用途分别遵循以下要求：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招用就业困难人员的单位和招用毕业年度高校毕业生的小微企业，申请社会保险补贴应向当地人社部门提供以下材料：符合条件人员名单、《就业创业证》复印件或毕业证书复印件、劳动合同复印件、社会保险费征缴机构出具的社会保险缴费明细账（单）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灵活就业的就业困难人员和灵活就业的离校1年内高校毕业生，申请社会保险补贴应向当地人社部门提供以下材料：《就业创业证》复印件或毕业证书复印件、灵活就业证明材料、社会保险费征缴机构出具的社会保险缴费明细账（单）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通过公益性岗位安置就业困难人员的单位，申请社会保险补贴应向当地人社部门提供以下材料：《就业创业证》复印件、享受社会保险补贴年限证明材料、社会保险费征缴机构出具的社会保险缴费明细账（单）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上述资金经人社部门审核后，按规定将补贴资金支付到单位在银行开立的基本账户或申请者本人个人银行账户。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第二十五条 通过公益性岗位安置就业困难人员的单位，申请公益性岗位补贴应向当地人社部门提供以下材料：《就业创业证》复印件、享受公益性岗位补贴年限证明材料、单位发放工资明细账（单）等。经人社部门审核后，按规定将补贴资金支付到单位在银行开立的基本账户或公益性岗位安置人员本人个人银行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第二十六条 吸纳离校2年内未就业高校毕业生参加就业见习的单位，申请就业见习补贴应向当地人社部门提供以下材料：参加就业见习的人员名单、就业见习协议书、《就业创业证》复印件、毕业证书复印件、单位发放基本生活补助明细账（单）、为见习人员办理人身意外伤害保险发票复印件等。经人社部门审核后，按规定将补贴资金支付到单位在银行开立的基本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第二十七条 符合条件的高校毕业生所在高校申请求职创业补贴应向当地人社部门提供以下材料：毕业生获得国家助学贷款（或享受低保、身有残疾、建档立卡贫困家庭、贫困残疾人家庭、特困救助供养）证明材料、毕业证书（或学籍证明）复印件等。申请材料经毕业生所在高校初审报当地人社部门审核后，按规定将补贴资金支付到毕业生本人个人银行账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第二十八条 县级以上财政、人社部门可通过就业创业服务补助资金，支持下级公共就业服务机构加强其人力资源市场信息网络系统建设。对于基层公共就业服务机构承担的免费公共就业服务和创业孵化基地开展的创业孵化服务，应根据工作量、专业性和成效等，给予一定的补助。对公共就业创业服务机构及其与高校开展的招聘活动和创业服务，应根据服务人数、成效和成本等，给予一定的补助。</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县级以上财政、人社部门可按政府购买服务相关规定，向社会购买基本就业创业服务成果，具体范围和办法由省级财政、人社部门确定。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第二十九条 各地应当结合区域经济发展、产业振兴发展规划和新兴战略性产业发展的需要，依托具备高技能人才培训能力的职业培训机构和城市公共实训基地，建设高技能人才培训基地，重点开展高技能人才研修提升培训、高技能人才评价、职业技能竞赛、高技能人才课程研发、高技能人才成果交流等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高技能人才培养补助资金使用具体范围由省级财政、人社部门结合实际情况，按照现行规定确定。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第三十条 地方各级人社、财政部门应当进一步优化业务流程，积极推进网上申报、网上审核、联网核查。对能依托管理信息系统或与相关单位信息共享、业务协同获得的个人及单位信息、资料的，可直接审核拨付补贴资金，不再要求单位及个人报送纸质材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第三十一条 就业补助资金的支付，按财政国库管理制度相关规定执行。</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第五章 资金管理与监督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第三十二条 地方各级财政、人社部门应当建立健全财务管理规章制度，强化内部财务管理，优化业务流程，加强内部风险防控。</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地方各级人社部门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第三十三条 各地财政、人社部门应当建立完善科学规范的绩效评价指标体系，积极推进就业补助资金的绩效管理。财政部和人力资源社会保障部应当根据各地就业工作情况，定期委托第三方进行就业补助资金绩效评价。地方各级财政、人社部门应当对本地区就业补助资金使用情况进行绩效评价，并将评价结果作为就业补助资金分配的重要依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第三十四条 各级财政部门应当加快资金拨付进度，减少结转结余。人社部门要按照本办法规定积极推动落实就业创业扶持政策，确保资金用出成效。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第三十五条 各级财政、人社部门应当将就业补助资金管理使用情况列入重点监督检查范围，有条件的地方，可聘请具备资质的社会中介机构开展第三方监督检查，自觉接受审计等部门的检查和社会监督。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第三十六条 地方各级财政、人社部门应当按照财政预决算管理的总体要求，做好年度预决算工作。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第三十七条 各级人社、财政部门应当做好信息公开工作，通过当地媒体、部门网站等向社会公开年度就业工作总体目标、工作任务完成、各项补贴资金的使用等情况。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项补贴资金的使用情况公开内容包括：享受各项补贴的单位名称或人员名单（含身份证号码）、补贴标准及具体金额等。其中，职业培训补贴还应公开培训的内容、取得的培训成果等；公益性岗位补贴还应公开公益性岗位名称、设立单位、安置人员名单、享受补贴时间等；求职创业补贴应在各高校初审时先行在校内公示。</w:t>
      </w:r>
    </w:p>
    <w:p>
      <w:pPr>
        <w:widowControl/>
        <w:spacing w:before="100" w:beforeAutospacing="1" w:after="240"/>
        <w:jc w:val="left"/>
        <w:rPr>
          <w:rFonts w:ascii="Arial" w:hAnsi="Arial" w:eastAsia="宋体" w:cs="Arial"/>
          <w:kern w:val="0"/>
          <w:sz w:val="24"/>
          <w:szCs w:val="24"/>
        </w:rPr>
      </w:pPr>
      <w:r>
        <w:rPr>
          <w:rFonts w:ascii="Arial" w:hAnsi="Arial" w:eastAsia="宋体" w:cs="Arial"/>
          <w:b/>
          <w:bCs/>
          <w:kern w:val="0"/>
          <w:sz w:val="24"/>
          <w:szCs w:val="24"/>
        </w:rPr>
        <w:t>　　第三十八条 各级财政、人社部门应当建立就业补助资金“谁使用、谁负责”的责任追究机制。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级财政、人社部门及其工作人员在就业补助资金的分配审核、使用管理等工作中，存在违反本办法规定的行为，以及其他滥用职权、玩忽职守、徇私舞弊等违法违纪行为的，依照《中华人民共和国预算法》《中华人民共和国公务员法》《中华人民共和国行政监察法》等国家有关法律法规追究相应责任。涉嫌犯罪的，依法移送司法机关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对疏于管理、违规使用资金的地区，中央财政将相应扣减其下一年度就业补助资金；情节严重的，取消下一年度其获得就业补助资金的资格，并在全国范围内予以通报。</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第六章 附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第三十九条 省级财政、人社部门可根据各地实际情况，依照本办法制定就业补助资金管理和使用的具体实施办法。</w:t>
      </w:r>
    </w:p>
    <w:p>
      <w:r>
        <w:rPr>
          <w:rFonts w:ascii="Arial" w:hAnsi="Arial" w:eastAsia="宋体" w:cs="Arial"/>
          <w:kern w:val="0"/>
          <w:sz w:val="24"/>
          <w:szCs w:val="24"/>
        </w:rPr>
        <w:t>　　第四十条 本办法自发布之日起施行。《财政部 人力资源社会保障部关于印发&lt;就业补助资金管理暂行办法&gt;的通知》（财社〔2015〕290号）同时废止。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A0805"/>
    <w:rsid w:val="34DA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2018-12-28T05:35:00Z</dcterms:created>
  <dc:creator>Administrator</dc:creator>
  <cp:lastModifiedBy>Administrator</cp:lastModifiedBy>
  <dcterms:modified xsi:type="dcterms:W3CDTF">2018-12-28T05:37:15Z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