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F34" w:rsidRDefault="000D5841">
      <w:pPr>
        <w:spacing w:after="252" w:line="259" w:lineRule="auto"/>
        <w:ind w:left="-15" w:firstLine="0"/>
      </w:pPr>
      <w:bookmarkStart w:id="0" w:name="_GoBack"/>
      <w:bookmarkEnd w:id="0"/>
      <w:r>
        <w:t>附件</w:t>
      </w:r>
      <w:r>
        <w:t xml:space="preserve"> </w:t>
      </w:r>
      <w:r>
        <w:rPr>
          <w:rFonts w:ascii="Times New Roman" w:eastAsia="Times New Roman" w:hAnsi="Times New Roman" w:cs="Times New Roman"/>
        </w:rPr>
        <w:t>4</w:t>
      </w:r>
      <w:r>
        <w:t>：</w:t>
      </w:r>
      <w:r>
        <w:rPr>
          <w:rFonts w:ascii="Times New Roman" w:eastAsia="Times New Roman" w:hAnsi="Times New Roman" w:cs="Times New Roman"/>
        </w:rPr>
        <w:t xml:space="preserve"> </w:t>
      </w:r>
    </w:p>
    <w:p w:rsidR="00D34F34" w:rsidRDefault="000D5841">
      <w:pPr>
        <w:spacing w:after="144" w:line="259" w:lineRule="auto"/>
        <w:ind w:right="164" w:firstLine="0"/>
        <w:jc w:val="center"/>
      </w:pPr>
      <w:r>
        <w:rPr>
          <w:sz w:val="36"/>
        </w:rPr>
        <w:t>政府会计准则第</w:t>
      </w:r>
      <w:r>
        <w:rPr>
          <w:sz w:val="36"/>
        </w:rPr>
        <w:t xml:space="preserve"> </w:t>
      </w:r>
      <w:r>
        <w:rPr>
          <w:rFonts w:ascii="Times New Roman" w:eastAsia="Times New Roman" w:hAnsi="Times New Roman" w:cs="Times New Roman"/>
          <w:b/>
          <w:sz w:val="36"/>
        </w:rPr>
        <w:t xml:space="preserve">4 </w:t>
      </w:r>
      <w:r>
        <w:rPr>
          <w:sz w:val="36"/>
        </w:rPr>
        <w:t>号</w:t>
      </w:r>
      <w:r>
        <w:rPr>
          <w:rFonts w:ascii="Times New Roman" w:eastAsia="Times New Roman" w:hAnsi="Times New Roman" w:cs="Times New Roman"/>
          <w:b/>
          <w:sz w:val="36"/>
        </w:rPr>
        <w:t>——</w:t>
      </w:r>
      <w:r>
        <w:rPr>
          <w:sz w:val="36"/>
        </w:rPr>
        <w:t>无形资产</w:t>
      </w:r>
      <w:r>
        <w:rPr>
          <w:rFonts w:ascii="Times New Roman" w:eastAsia="Times New Roman" w:hAnsi="Times New Roman" w:cs="Times New Roman"/>
          <w:b/>
          <w:sz w:val="36"/>
        </w:rPr>
        <w:t xml:space="preserve"> </w:t>
      </w:r>
    </w:p>
    <w:p w:rsidR="00D34F34" w:rsidRDefault="000D5841">
      <w:pPr>
        <w:spacing w:after="235" w:line="259" w:lineRule="auto"/>
        <w:ind w:firstLine="0"/>
      </w:pPr>
      <w:r>
        <w:rPr>
          <w:rFonts w:ascii="Times New Roman" w:eastAsia="Times New Roman" w:hAnsi="Times New Roman" w:cs="Times New Roman"/>
        </w:rPr>
        <w:t xml:space="preserve"> </w:t>
      </w:r>
    </w:p>
    <w:p w:rsidR="00D34F34" w:rsidRDefault="000D5841">
      <w:pPr>
        <w:pStyle w:val="1"/>
      </w:pPr>
      <w:r>
        <w:t>第一章</w:t>
      </w:r>
      <w:r>
        <w:rPr>
          <w:rFonts w:ascii="Times New Roman" w:eastAsia="Times New Roman" w:hAnsi="Times New Roman" w:cs="Times New Roman"/>
        </w:rPr>
        <w:t xml:space="preserve"> </w:t>
      </w:r>
      <w:r>
        <w:t>总</w:t>
      </w:r>
      <w:r>
        <w:rPr>
          <w:rFonts w:ascii="Times New Roman" w:eastAsia="Times New Roman" w:hAnsi="Times New Roman" w:cs="Times New Roman"/>
        </w:rPr>
        <w:t xml:space="preserve">  </w:t>
      </w:r>
      <w:r>
        <w:t>则</w:t>
      </w:r>
      <w:r>
        <w:rPr>
          <w:rFonts w:ascii="Times New Roman" w:eastAsia="Times New Roman" w:hAnsi="Times New Roman" w:cs="Times New Roman"/>
        </w:rPr>
        <w:t xml:space="preserve"> </w:t>
      </w:r>
    </w:p>
    <w:p w:rsidR="00D34F34" w:rsidRDefault="000D5841">
      <w:pPr>
        <w:ind w:left="-15"/>
      </w:pPr>
      <w:r>
        <w:t>第一条</w:t>
      </w:r>
      <w:r>
        <w:rPr>
          <w:rFonts w:ascii="Times New Roman" w:eastAsia="Times New Roman" w:hAnsi="Times New Roman" w:cs="Times New Roman"/>
          <w:b/>
        </w:rPr>
        <w:t xml:space="preserve"> </w:t>
      </w:r>
      <w:r>
        <w:t>为了规范无形资产的确认、计量和相关信息的披露，根据《政府会计准则</w:t>
      </w:r>
      <w:r>
        <w:rPr>
          <w:rFonts w:ascii="Times New Roman" w:eastAsia="Times New Roman" w:hAnsi="Times New Roman" w:cs="Times New Roman"/>
        </w:rPr>
        <w:t>——</w:t>
      </w:r>
      <w:r>
        <w:t>基本准则》，制定本准则。</w:t>
      </w:r>
      <w:r>
        <w:rPr>
          <w:rFonts w:ascii="Times New Roman" w:eastAsia="Times New Roman" w:hAnsi="Times New Roman" w:cs="Times New Roman"/>
          <w:b/>
        </w:rPr>
        <w:t xml:space="preserve"> </w:t>
      </w:r>
    </w:p>
    <w:p w:rsidR="00D34F34" w:rsidRDefault="000D5841">
      <w:pPr>
        <w:spacing w:after="226" w:line="259" w:lineRule="auto"/>
        <w:ind w:left="10" w:right="161" w:hanging="10"/>
        <w:jc w:val="right"/>
      </w:pPr>
      <w:r>
        <w:t>第二条</w:t>
      </w:r>
      <w:r>
        <w:rPr>
          <w:rFonts w:ascii="Times New Roman" w:eastAsia="Times New Roman" w:hAnsi="Times New Roman" w:cs="Times New Roman"/>
          <w:b/>
        </w:rPr>
        <w:t xml:space="preserve"> </w:t>
      </w:r>
      <w:r>
        <w:t>本准则所称无形资产，是指政府会计主体控制</w:t>
      </w:r>
    </w:p>
    <w:p w:rsidR="00D34F34" w:rsidRDefault="000D5841">
      <w:pPr>
        <w:ind w:left="-15" w:firstLine="0"/>
      </w:pPr>
      <w:r>
        <w:t>的没有实物形态的可辨认非货币性资产，如专利权、商标权、著作权、土地使用权、非专利技术等。</w:t>
      </w:r>
      <w:r>
        <w:rPr>
          <w:rFonts w:ascii="Times New Roman" w:eastAsia="Times New Roman" w:hAnsi="Times New Roman" w:cs="Times New Roman"/>
        </w:rPr>
        <w:t xml:space="preserve"> </w:t>
      </w:r>
    </w:p>
    <w:p w:rsidR="00D34F34" w:rsidRDefault="000D5841">
      <w:pPr>
        <w:ind w:left="-15"/>
      </w:pPr>
      <w:r>
        <w:t>资产满足下列条件之一的，符合无形资产定义中的可辨认性标准：</w:t>
      </w:r>
      <w:r>
        <w:rPr>
          <w:rFonts w:ascii="Times New Roman" w:eastAsia="Times New Roman" w:hAnsi="Times New Roman" w:cs="Times New Roman"/>
        </w:rPr>
        <w:t xml:space="preserve"> </w:t>
      </w:r>
    </w:p>
    <w:p w:rsidR="00D34F34" w:rsidRDefault="000D5841">
      <w:pPr>
        <w:numPr>
          <w:ilvl w:val="0"/>
          <w:numId w:val="1"/>
        </w:numPr>
      </w:pPr>
      <w:r>
        <w:t>能够从政府会计主体中分离或者划分出来，并能单独或者与相关合同、资产或负债一起，用于出售、转移、授予许可、租赁或者交换。</w:t>
      </w:r>
      <w:r>
        <w:rPr>
          <w:rFonts w:ascii="Times New Roman" w:eastAsia="Times New Roman" w:hAnsi="Times New Roman" w:cs="Times New Roman"/>
        </w:rPr>
        <w:t xml:space="preserve"> </w:t>
      </w:r>
    </w:p>
    <w:p w:rsidR="00D34F34" w:rsidRDefault="000D5841">
      <w:pPr>
        <w:numPr>
          <w:ilvl w:val="0"/>
          <w:numId w:val="1"/>
        </w:numPr>
      </w:pPr>
      <w:r>
        <w:lastRenderedPageBreak/>
        <w:t>源自合同性权利或其他法定权利，无论这些权利是否可以从政府会计主体或其他权利和义务中转移或者分离。</w:t>
      </w:r>
      <w:r>
        <w:rPr>
          <w:rFonts w:ascii="Times New Roman" w:eastAsia="Times New Roman" w:hAnsi="Times New Roman" w:cs="Times New Roman"/>
        </w:rPr>
        <w:t xml:space="preserve"> </w:t>
      </w:r>
    </w:p>
    <w:p w:rsidR="00D34F34" w:rsidRDefault="000D5841">
      <w:pPr>
        <w:spacing w:after="229" w:line="259" w:lineRule="auto"/>
        <w:ind w:left="643" w:firstLine="0"/>
      </w:pPr>
      <w:r>
        <w:rPr>
          <w:rFonts w:ascii="Times New Roman" w:eastAsia="Times New Roman" w:hAnsi="Times New Roman" w:cs="Times New Roman"/>
          <w:b/>
        </w:rPr>
        <w:t xml:space="preserve"> </w:t>
      </w:r>
    </w:p>
    <w:p w:rsidR="00D34F34" w:rsidRDefault="000D5841">
      <w:pPr>
        <w:pStyle w:val="1"/>
        <w:ind w:right="164"/>
      </w:pPr>
      <w:r>
        <w:t>第二章</w:t>
      </w:r>
      <w:r>
        <w:rPr>
          <w:rFonts w:ascii="Times New Roman" w:eastAsia="Times New Roman" w:hAnsi="Times New Roman" w:cs="Times New Roman"/>
        </w:rPr>
        <w:t xml:space="preserve"> </w:t>
      </w:r>
      <w:r>
        <w:t>无形资产的确认</w:t>
      </w:r>
      <w:r>
        <w:rPr>
          <w:rFonts w:ascii="Times New Roman" w:eastAsia="Times New Roman" w:hAnsi="Times New Roman" w:cs="Times New Roman"/>
        </w:rPr>
        <w:t xml:space="preserve"> </w:t>
      </w:r>
    </w:p>
    <w:p w:rsidR="00D34F34" w:rsidRDefault="000D5841">
      <w:pPr>
        <w:spacing w:after="226" w:line="259" w:lineRule="auto"/>
        <w:ind w:left="10" w:right="-14" w:hanging="10"/>
        <w:jc w:val="right"/>
      </w:pPr>
      <w:r>
        <w:t>第三条</w:t>
      </w:r>
      <w:r>
        <w:rPr>
          <w:rFonts w:ascii="Times New Roman" w:eastAsia="Times New Roman" w:hAnsi="Times New Roman" w:cs="Times New Roman"/>
        </w:rPr>
        <w:t xml:space="preserve"> </w:t>
      </w:r>
      <w:r>
        <w:t>无形资产同时满足下列条件的，应当予以确认：</w:t>
      </w:r>
      <w:r>
        <w:rPr>
          <w:rFonts w:ascii="Times New Roman" w:eastAsia="Times New Roman" w:hAnsi="Times New Roman" w:cs="Times New Roman"/>
        </w:rPr>
        <w:t xml:space="preserve"> </w:t>
      </w:r>
    </w:p>
    <w:p w:rsidR="00D34F34" w:rsidRDefault="000D5841">
      <w:pPr>
        <w:spacing w:after="226" w:line="259" w:lineRule="auto"/>
        <w:ind w:left="10" w:right="162" w:hanging="10"/>
        <w:jc w:val="right"/>
      </w:pPr>
      <w:r>
        <w:t>（一）与该无形资产相关的服务潜力很可能实现或者经</w:t>
      </w:r>
    </w:p>
    <w:p w:rsidR="00D34F34" w:rsidRDefault="000D5841">
      <w:pPr>
        <w:spacing w:after="227" w:line="259" w:lineRule="auto"/>
        <w:ind w:left="-15" w:firstLine="0"/>
      </w:pPr>
      <w:r>
        <w:t>济利益很可能流入政府会计主体；（二）该无形资产的成本或者价值能够可靠地计量。</w:t>
      </w:r>
      <w:r>
        <w:rPr>
          <w:rFonts w:ascii="Times New Roman" w:eastAsia="Times New Roman" w:hAnsi="Times New Roman" w:cs="Times New Roman"/>
        </w:rPr>
        <w:t xml:space="preserve"> </w:t>
      </w:r>
    </w:p>
    <w:p w:rsidR="00D34F34" w:rsidRDefault="000D5841">
      <w:pPr>
        <w:ind w:left="-15"/>
      </w:pPr>
      <w:r>
        <w:t>政府会计主体在判断无形资产的服务潜力或经济利益是否很可能实现或流入时，应当对无形资产在预计使用年限内可能存在的各种社会、经济、科技因素做出合理估计，并且应当有确凿的证据支持。</w:t>
      </w:r>
      <w:r>
        <w:rPr>
          <w:rFonts w:ascii="Times New Roman" w:eastAsia="Times New Roman" w:hAnsi="Times New Roman" w:cs="Times New Roman"/>
        </w:rPr>
        <w:t xml:space="preserve"> </w:t>
      </w:r>
    </w:p>
    <w:p w:rsidR="00D34F34" w:rsidRDefault="000D5841">
      <w:pPr>
        <w:ind w:left="-15"/>
      </w:pPr>
      <w:r>
        <w:t>第四条</w:t>
      </w:r>
      <w:r>
        <w:rPr>
          <w:rFonts w:ascii="Times New Roman" w:eastAsia="Times New Roman" w:hAnsi="Times New Roman" w:cs="Times New Roman"/>
        </w:rPr>
        <w:t xml:space="preserve"> </w:t>
      </w:r>
      <w:r>
        <w:t>政府会计主体购入的不构成相关硬件不可缺少组成部分的软件，应当确认为无形资产。</w:t>
      </w:r>
      <w:r>
        <w:rPr>
          <w:rFonts w:ascii="Times New Roman" w:eastAsia="Times New Roman" w:hAnsi="Times New Roman" w:cs="Times New Roman"/>
        </w:rPr>
        <w:t xml:space="preserve"> </w:t>
      </w:r>
    </w:p>
    <w:p w:rsidR="00D34F34" w:rsidRDefault="000D5841">
      <w:pPr>
        <w:ind w:left="-15"/>
      </w:pPr>
      <w:r>
        <w:lastRenderedPageBreak/>
        <w:t>第五条</w:t>
      </w:r>
      <w:r>
        <w:rPr>
          <w:rFonts w:ascii="Times New Roman" w:eastAsia="Times New Roman" w:hAnsi="Times New Roman" w:cs="Times New Roman"/>
          <w:b/>
        </w:rPr>
        <w:t xml:space="preserve"> </w:t>
      </w:r>
      <w:r>
        <w:t>政府会计主体自行研究开发项目的支出，应当区分研究阶段支出与开发阶段支出。</w:t>
      </w:r>
      <w:r>
        <w:rPr>
          <w:rFonts w:ascii="Times New Roman" w:eastAsia="Times New Roman" w:hAnsi="Times New Roman" w:cs="Times New Roman"/>
        </w:rPr>
        <w:t xml:space="preserve"> </w:t>
      </w:r>
    </w:p>
    <w:p w:rsidR="00D34F34" w:rsidRDefault="000D5841">
      <w:pPr>
        <w:ind w:left="-15"/>
      </w:pPr>
      <w:r>
        <w:t>研究是指为获取并理解新的科学或技术知识而进行的独创性的有计划调查。</w:t>
      </w:r>
      <w:r>
        <w:rPr>
          <w:rFonts w:ascii="Times New Roman" w:eastAsia="Times New Roman" w:hAnsi="Times New Roman" w:cs="Times New Roman"/>
        </w:rPr>
        <w:t xml:space="preserve"> </w:t>
      </w:r>
    </w:p>
    <w:p w:rsidR="00D34F34" w:rsidRDefault="000D5841">
      <w:pPr>
        <w:ind w:left="-15"/>
      </w:pPr>
      <w:r>
        <w:t>开发是指在进行生产或使用前，将研究成果或其他知识应用于某项计划或设计，以生产出新的或具有实质性改进的材料、装置、产品等。</w:t>
      </w:r>
      <w:r>
        <w:rPr>
          <w:rFonts w:ascii="Times New Roman" w:eastAsia="Times New Roman" w:hAnsi="Times New Roman" w:cs="Times New Roman"/>
        </w:rPr>
        <w:t xml:space="preserve"> </w:t>
      </w:r>
    </w:p>
    <w:p w:rsidR="00D34F34" w:rsidRDefault="000D5841">
      <w:pPr>
        <w:ind w:left="-15"/>
      </w:pPr>
      <w:r>
        <w:t>第六条</w:t>
      </w:r>
      <w:r>
        <w:rPr>
          <w:rFonts w:ascii="Times New Roman" w:eastAsia="Times New Roman" w:hAnsi="Times New Roman" w:cs="Times New Roman"/>
          <w:b/>
        </w:rPr>
        <w:t xml:space="preserve"> </w:t>
      </w:r>
      <w:r>
        <w:t>政府会计主体自行研究开发项目研究阶段的支出，应当于发生时计入当期费用。</w:t>
      </w:r>
      <w:r>
        <w:rPr>
          <w:rFonts w:ascii="Times New Roman" w:eastAsia="Times New Roman" w:hAnsi="Times New Roman" w:cs="Times New Roman"/>
        </w:rPr>
        <w:t xml:space="preserve"> </w:t>
      </w:r>
    </w:p>
    <w:p w:rsidR="00D34F34" w:rsidRDefault="000D5841">
      <w:pPr>
        <w:ind w:left="-15"/>
      </w:pPr>
      <w:r>
        <w:t>政府会计主体自行研究开发项目开发阶段的支出，先按合理方法进行归集，如果最终形成无形资产的，应当确认为无形资产；如果最终未形成无形资产的，应当计入当期费用。</w:t>
      </w:r>
      <w:r>
        <w:rPr>
          <w:rFonts w:ascii="Times New Roman" w:eastAsia="Times New Roman" w:hAnsi="Times New Roman" w:cs="Times New Roman"/>
        </w:rPr>
        <w:t xml:space="preserve"> </w:t>
      </w:r>
    </w:p>
    <w:p w:rsidR="00D34F34" w:rsidRDefault="000D5841">
      <w:pPr>
        <w:spacing w:after="221"/>
        <w:ind w:left="-15"/>
      </w:pPr>
      <w:r>
        <w:t>政府会计主体自行研究开发项目尚未进入开发阶段，或者确实无法区分研究阶段支出和开发阶段支出，但按法律程</w:t>
      </w:r>
      <w:r>
        <w:lastRenderedPageBreak/>
        <w:t>序已申请取得无形资产的，应当将依法取得时发生的注册费、聘请律师费等费用确认为无形资产。</w:t>
      </w:r>
      <w:r>
        <w:rPr>
          <w:rFonts w:ascii="Times New Roman" w:eastAsia="Times New Roman" w:hAnsi="Times New Roman" w:cs="Times New Roman"/>
        </w:rPr>
        <w:t xml:space="preserve"> </w:t>
      </w:r>
    </w:p>
    <w:p w:rsidR="00D34F34" w:rsidRDefault="000D5841">
      <w:pPr>
        <w:ind w:left="-15"/>
      </w:pPr>
      <w:r>
        <w:t>第七条</w:t>
      </w:r>
      <w:r>
        <w:rPr>
          <w:rFonts w:ascii="Times New Roman" w:eastAsia="Times New Roman" w:hAnsi="Times New Roman" w:cs="Times New Roman"/>
        </w:rPr>
        <w:t xml:space="preserve"> </w:t>
      </w:r>
      <w:r>
        <w:t>政府会计主体自创商誉及内部产生的品牌、报刊名等，不应确认为无形资产。</w:t>
      </w:r>
      <w:r>
        <w:rPr>
          <w:rFonts w:ascii="Times New Roman" w:eastAsia="Times New Roman" w:hAnsi="Times New Roman" w:cs="Times New Roman"/>
        </w:rPr>
        <w:t xml:space="preserve"> </w:t>
      </w:r>
    </w:p>
    <w:p w:rsidR="00D34F34" w:rsidRDefault="000D5841">
      <w:pPr>
        <w:ind w:left="-15"/>
      </w:pPr>
      <w:r>
        <w:t>第八条</w:t>
      </w:r>
      <w:r>
        <w:rPr>
          <w:rFonts w:ascii="Times New Roman" w:eastAsia="Times New Roman" w:hAnsi="Times New Roman" w:cs="Times New Roman"/>
        </w:rPr>
        <w:t xml:space="preserve"> </w:t>
      </w:r>
      <w:r>
        <w:t>与无形资产有关的后续支出，符合本准则第三条规定的确认条件的，应当计入无形资产</w:t>
      </w:r>
      <w:r>
        <w:t>成本；不符合本准则第三条规定的确认条件的，应当在发生时计入当期费用或者相关资产成本。</w:t>
      </w:r>
      <w:r>
        <w:rPr>
          <w:rFonts w:ascii="Times New Roman" w:eastAsia="Times New Roman" w:hAnsi="Times New Roman" w:cs="Times New Roman"/>
        </w:rPr>
        <w:t xml:space="preserve"> </w:t>
      </w:r>
    </w:p>
    <w:p w:rsidR="00D34F34" w:rsidRDefault="000D5841">
      <w:pPr>
        <w:spacing w:after="229" w:line="259" w:lineRule="auto"/>
        <w:ind w:right="84" w:firstLine="0"/>
        <w:jc w:val="center"/>
      </w:pPr>
      <w:r>
        <w:rPr>
          <w:rFonts w:ascii="Times New Roman" w:eastAsia="Times New Roman" w:hAnsi="Times New Roman" w:cs="Times New Roman"/>
          <w:b/>
        </w:rPr>
        <w:t xml:space="preserve"> </w:t>
      </w:r>
    </w:p>
    <w:p w:rsidR="00D34F34" w:rsidRDefault="000D5841">
      <w:pPr>
        <w:pStyle w:val="1"/>
        <w:ind w:right="161"/>
      </w:pPr>
      <w:r>
        <w:t>第三章</w:t>
      </w:r>
      <w:r>
        <w:rPr>
          <w:rFonts w:ascii="Times New Roman" w:eastAsia="Times New Roman" w:hAnsi="Times New Roman" w:cs="Times New Roman"/>
        </w:rPr>
        <w:t xml:space="preserve"> </w:t>
      </w:r>
      <w:r>
        <w:t>无形资产的初始计量</w:t>
      </w:r>
      <w:r>
        <w:rPr>
          <w:rFonts w:ascii="Times New Roman" w:eastAsia="Times New Roman" w:hAnsi="Times New Roman" w:cs="Times New Roman"/>
        </w:rPr>
        <w:t xml:space="preserve"> </w:t>
      </w:r>
    </w:p>
    <w:p w:rsidR="00D34F34" w:rsidRDefault="000D5841">
      <w:pPr>
        <w:ind w:left="-15"/>
      </w:pPr>
      <w:r>
        <w:t>第九条</w:t>
      </w:r>
      <w:r>
        <w:rPr>
          <w:rFonts w:ascii="Times New Roman" w:eastAsia="Times New Roman" w:hAnsi="Times New Roman" w:cs="Times New Roman"/>
        </w:rPr>
        <w:t xml:space="preserve"> </w:t>
      </w:r>
      <w:r>
        <w:t>无形资产在取得时应当按照成本进行初始计量。</w:t>
      </w:r>
      <w:r>
        <w:rPr>
          <w:rFonts w:ascii="Times New Roman" w:eastAsia="Times New Roman" w:hAnsi="Times New Roman" w:cs="Times New Roman"/>
        </w:rPr>
        <w:t xml:space="preserve"> </w:t>
      </w:r>
    </w:p>
    <w:p w:rsidR="00D34F34" w:rsidRDefault="000D5841">
      <w:pPr>
        <w:ind w:left="-15"/>
      </w:pPr>
      <w:r>
        <w:t>第十条</w:t>
      </w:r>
      <w:r>
        <w:rPr>
          <w:rFonts w:ascii="Times New Roman" w:eastAsia="Times New Roman" w:hAnsi="Times New Roman" w:cs="Times New Roman"/>
        </w:rPr>
        <w:t xml:space="preserve"> </w:t>
      </w:r>
      <w:r>
        <w:t>政府会计主体外购的无形资产，其成本包括购买价款、相关税费以及可归属于该项资产达到预定用途前所发生的其他支出。</w:t>
      </w:r>
      <w:r>
        <w:rPr>
          <w:rFonts w:ascii="Times New Roman" w:eastAsia="Times New Roman" w:hAnsi="Times New Roman" w:cs="Times New Roman"/>
        </w:rPr>
        <w:t xml:space="preserve"> </w:t>
      </w:r>
    </w:p>
    <w:p w:rsidR="00D34F34" w:rsidRDefault="000D5841">
      <w:pPr>
        <w:ind w:left="-15"/>
      </w:pPr>
      <w:r>
        <w:lastRenderedPageBreak/>
        <w:t>政府会计主体委托软件公司开发的软件，视同外购无形资产确定其成本。</w:t>
      </w:r>
      <w:r>
        <w:rPr>
          <w:rFonts w:ascii="Times New Roman" w:eastAsia="Times New Roman" w:hAnsi="Times New Roman" w:cs="Times New Roman"/>
        </w:rPr>
        <w:t xml:space="preserve"> </w:t>
      </w:r>
    </w:p>
    <w:p w:rsidR="00D34F34" w:rsidRDefault="000D5841">
      <w:pPr>
        <w:ind w:left="-15"/>
      </w:pPr>
      <w:r>
        <w:t>第十一条</w:t>
      </w:r>
      <w:r>
        <w:rPr>
          <w:rFonts w:ascii="Times New Roman" w:eastAsia="Times New Roman" w:hAnsi="Times New Roman" w:cs="Times New Roman"/>
          <w:b/>
        </w:rPr>
        <w:t xml:space="preserve"> </w:t>
      </w:r>
      <w:r>
        <w:t>政府会计主体自行开发的无形资产，其成本包括自该项目进入开发阶段后至达到预定用途前所发生的支出总额。</w:t>
      </w:r>
      <w:r>
        <w:rPr>
          <w:rFonts w:ascii="Times New Roman" w:eastAsia="Times New Roman" w:hAnsi="Times New Roman" w:cs="Times New Roman"/>
        </w:rPr>
        <w:t xml:space="preserve"> </w:t>
      </w:r>
    </w:p>
    <w:p w:rsidR="00D34F34" w:rsidRDefault="000D5841">
      <w:pPr>
        <w:ind w:left="-15"/>
      </w:pPr>
      <w:r>
        <w:t>第十二条</w:t>
      </w:r>
      <w:r>
        <w:rPr>
          <w:rFonts w:ascii="Times New Roman" w:eastAsia="Times New Roman" w:hAnsi="Times New Roman" w:cs="Times New Roman"/>
        </w:rPr>
        <w:t xml:space="preserve"> </w:t>
      </w:r>
      <w:r>
        <w:t>政府会计主体通过置换取得的</w:t>
      </w:r>
      <w:r>
        <w:t>无形资产，其成本按照换出资产的评估价值加上支付的补价或减去收到的补价，加上换入无形资产发生的其他相关支出确定。第十三条</w:t>
      </w:r>
      <w:r>
        <w:rPr>
          <w:rFonts w:ascii="Times New Roman" w:eastAsia="Times New Roman" w:hAnsi="Times New Roman" w:cs="Times New Roman"/>
          <w:b/>
        </w:rPr>
        <w:t xml:space="preserve"> </w:t>
      </w:r>
      <w:r>
        <w:t>政府会计主体接受捐赠的无形资产，其成本按照有关凭据注明的金额加上相关税费确定；没有相关凭据可供取得，但按规定经过资产评估的，其成本按照评估价值加上相关税费确定；没有相关凭据可供取得、也未经资产评估的，其成本比照同类或类似资产的市场价格加上相关税费确定；没有相关凭据且未经资产评估、同类或类似资产的市场价格也无法可靠取得的，按照名义金额入账，相关税费计入当期费用。</w:t>
      </w:r>
      <w:r>
        <w:rPr>
          <w:rFonts w:ascii="Times New Roman" w:eastAsia="Times New Roman" w:hAnsi="Times New Roman" w:cs="Times New Roman"/>
        </w:rPr>
        <w:t xml:space="preserve"> </w:t>
      </w:r>
    </w:p>
    <w:p w:rsidR="00D34F34" w:rsidRDefault="000D5841">
      <w:pPr>
        <w:ind w:left="-15"/>
      </w:pPr>
      <w:r>
        <w:lastRenderedPageBreak/>
        <w:t>确定接受捐赠无形资产的初始</w:t>
      </w:r>
      <w:r>
        <w:t>入账成本时，应当考虑该项资产尚可为政府会计主体带来服务潜力或经济利益的能力。</w:t>
      </w:r>
      <w:r>
        <w:rPr>
          <w:rFonts w:ascii="Times New Roman" w:eastAsia="Times New Roman" w:hAnsi="Times New Roman" w:cs="Times New Roman"/>
        </w:rPr>
        <w:t xml:space="preserve"> </w:t>
      </w:r>
    </w:p>
    <w:p w:rsidR="00D34F34" w:rsidRDefault="000D5841">
      <w:pPr>
        <w:ind w:left="-15"/>
      </w:pPr>
      <w:r>
        <w:t>第十四条</w:t>
      </w:r>
      <w:r>
        <w:rPr>
          <w:rFonts w:ascii="Times New Roman" w:eastAsia="Times New Roman" w:hAnsi="Times New Roman" w:cs="Times New Roman"/>
          <w:b/>
        </w:rPr>
        <w:t xml:space="preserve"> </w:t>
      </w:r>
      <w:r>
        <w:t>政府会计主体无偿调入的无形资产，其成本按照调出方账面价值加上相关税费确定。</w:t>
      </w:r>
      <w:r>
        <w:rPr>
          <w:rFonts w:ascii="Times New Roman" w:eastAsia="Times New Roman" w:hAnsi="Times New Roman" w:cs="Times New Roman"/>
        </w:rPr>
        <w:t xml:space="preserve"> </w:t>
      </w:r>
    </w:p>
    <w:p w:rsidR="00D34F34" w:rsidRDefault="000D5841">
      <w:pPr>
        <w:spacing w:after="237" w:line="259" w:lineRule="auto"/>
        <w:ind w:left="641" w:firstLine="0"/>
      </w:pPr>
      <w:r>
        <w:rPr>
          <w:rFonts w:ascii="Times New Roman" w:eastAsia="Times New Roman" w:hAnsi="Times New Roman" w:cs="Times New Roman"/>
        </w:rPr>
        <w:t xml:space="preserve"> </w:t>
      </w:r>
    </w:p>
    <w:p w:rsidR="00D34F34" w:rsidRDefault="000D5841">
      <w:pPr>
        <w:spacing w:after="234" w:line="259" w:lineRule="auto"/>
        <w:ind w:left="10" w:right="161" w:hanging="10"/>
        <w:jc w:val="center"/>
      </w:pPr>
      <w:r>
        <w:t>第四章</w:t>
      </w:r>
      <w:r>
        <w:rPr>
          <w:rFonts w:ascii="Times New Roman" w:eastAsia="Times New Roman" w:hAnsi="Times New Roman" w:cs="Times New Roman"/>
        </w:rPr>
        <w:t xml:space="preserve"> </w:t>
      </w:r>
      <w:r>
        <w:t>无形资产的后续计量</w:t>
      </w:r>
      <w:r>
        <w:rPr>
          <w:rFonts w:ascii="Times New Roman" w:eastAsia="Times New Roman" w:hAnsi="Times New Roman" w:cs="Times New Roman"/>
        </w:rPr>
        <w:t xml:space="preserve"> </w:t>
      </w:r>
    </w:p>
    <w:p w:rsidR="00D34F34" w:rsidRDefault="000D5841">
      <w:pPr>
        <w:spacing w:after="230" w:line="259" w:lineRule="auto"/>
        <w:ind w:right="84" w:firstLine="0"/>
        <w:jc w:val="center"/>
      </w:pPr>
      <w:r>
        <w:rPr>
          <w:rFonts w:ascii="Times New Roman" w:eastAsia="Times New Roman" w:hAnsi="Times New Roman" w:cs="Times New Roman"/>
          <w:b/>
        </w:rPr>
        <w:t xml:space="preserve"> </w:t>
      </w:r>
    </w:p>
    <w:p w:rsidR="00D34F34" w:rsidRDefault="000D5841">
      <w:pPr>
        <w:pStyle w:val="1"/>
        <w:spacing w:after="236"/>
        <w:ind w:right="167"/>
      </w:pPr>
      <w:r>
        <w:t>第一节</w:t>
      </w:r>
      <w:r>
        <w:rPr>
          <w:rFonts w:ascii="Times New Roman" w:eastAsia="Times New Roman" w:hAnsi="Times New Roman" w:cs="Times New Roman"/>
          <w:b/>
        </w:rPr>
        <w:t xml:space="preserve"> </w:t>
      </w:r>
      <w:r>
        <w:t>无形资产的摊销</w:t>
      </w:r>
      <w:r>
        <w:rPr>
          <w:rFonts w:ascii="Times New Roman" w:eastAsia="Times New Roman" w:hAnsi="Times New Roman" w:cs="Times New Roman"/>
          <w:b/>
        </w:rPr>
        <w:t xml:space="preserve"> </w:t>
      </w:r>
    </w:p>
    <w:p w:rsidR="00D34F34" w:rsidRDefault="000D5841">
      <w:pPr>
        <w:ind w:left="-15"/>
      </w:pPr>
      <w:r>
        <w:t>第十五条</w:t>
      </w:r>
      <w:r>
        <w:rPr>
          <w:rFonts w:ascii="Times New Roman" w:eastAsia="Times New Roman" w:hAnsi="Times New Roman" w:cs="Times New Roman"/>
        </w:rPr>
        <w:t xml:space="preserve"> </w:t>
      </w:r>
      <w:r>
        <w:t>政府会计主体应当于取得或形成无形资产时合理确定其使用年限。</w:t>
      </w:r>
      <w:r>
        <w:rPr>
          <w:rFonts w:ascii="Times New Roman" w:eastAsia="Times New Roman" w:hAnsi="Times New Roman" w:cs="Times New Roman"/>
        </w:rPr>
        <w:t xml:space="preserve"> </w:t>
      </w:r>
    </w:p>
    <w:p w:rsidR="00D34F34" w:rsidRDefault="000D5841">
      <w:pPr>
        <w:ind w:left="-15"/>
      </w:pPr>
      <w:r>
        <w:t>无形资产的使用年限为有限的，应当估计该使用年限。无法预见无形资产为政府会计主体提供服务潜力或者带来经济利益期限的，应当视为使用年限不确定的无形资产。第十六条</w:t>
      </w:r>
      <w:r>
        <w:rPr>
          <w:rFonts w:ascii="Times New Roman" w:eastAsia="Times New Roman" w:hAnsi="Times New Roman" w:cs="Times New Roman"/>
          <w:b/>
        </w:rPr>
        <w:t xml:space="preserve"> </w:t>
      </w:r>
      <w:r>
        <w:t>政府会计主体应当对使用年限有限的无形资产进行摊</w:t>
      </w:r>
      <w:r>
        <w:lastRenderedPageBreak/>
        <w:t>销，但已摊销完毕仍继续使用的无形资产和以名义金额计量的无形资产除外。</w:t>
      </w:r>
      <w:r>
        <w:rPr>
          <w:rFonts w:ascii="Times New Roman" w:eastAsia="Times New Roman" w:hAnsi="Times New Roman" w:cs="Times New Roman"/>
        </w:rPr>
        <w:t xml:space="preserve"> </w:t>
      </w:r>
    </w:p>
    <w:p w:rsidR="00D34F34" w:rsidRDefault="000D5841">
      <w:pPr>
        <w:ind w:left="-15"/>
      </w:pPr>
      <w:r>
        <w:t>摊销是指在无形资产使用年限内，按照确定的方法对应摊销金额进行系统分摊。</w:t>
      </w:r>
      <w:r>
        <w:rPr>
          <w:rFonts w:ascii="Times New Roman" w:eastAsia="Times New Roman" w:hAnsi="Times New Roman" w:cs="Times New Roman"/>
        </w:rPr>
        <w:t xml:space="preserve"> </w:t>
      </w:r>
    </w:p>
    <w:p w:rsidR="00D34F34" w:rsidRDefault="000D5841">
      <w:pPr>
        <w:ind w:left="-15"/>
      </w:pPr>
      <w:r>
        <w:t>第十七条</w:t>
      </w:r>
      <w:r>
        <w:rPr>
          <w:rFonts w:ascii="Times New Roman" w:eastAsia="Times New Roman" w:hAnsi="Times New Roman" w:cs="Times New Roman"/>
        </w:rPr>
        <w:t xml:space="preserve"> </w:t>
      </w:r>
      <w:r>
        <w:t>对于使用年限有限的无形资产，政府会计主体应当按照以下原则确定无形资产的摊销年限：</w:t>
      </w:r>
      <w:r>
        <w:rPr>
          <w:rFonts w:ascii="Times New Roman" w:eastAsia="Times New Roman" w:hAnsi="Times New Roman" w:cs="Times New Roman"/>
        </w:rPr>
        <w:t xml:space="preserve"> </w:t>
      </w:r>
    </w:p>
    <w:p w:rsidR="00D34F34" w:rsidRDefault="000D5841">
      <w:pPr>
        <w:numPr>
          <w:ilvl w:val="0"/>
          <w:numId w:val="2"/>
        </w:numPr>
      </w:pPr>
      <w:r>
        <w:t>法律规定了有效年限的，按照法律规定的有效年限作为摊销年限；</w:t>
      </w:r>
      <w:r>
        <w:rPr>
          <w:rFonts w:ascii="Times New Roman" w:eastAsia="Times New Roman" w:hAnsi="Times New Roman" w:cs="Times New Roman"/>
        </w:rPr>
        <w:t xml:space="preserve"> </w:t>
      </w:r>
    </w:p>
    <w:p w:rsidR="00D34F34" w:rsidRDefault="000D5841">
      <w:pPr>
        <w:numPr>
          <w:ilvl w:val="0"/>
          <w:numId w:val="2"/>
        </w:numPr>
      </w:pPr>
      <w:r>
        <w:t>法律没有规定有效年限的，按照相关合同或单位申请书中的受益年限作为摊销年限；</w:t>
      </w:r>
      <w:r>
        <w:rPr>
          <w:rFonts w:ascii="Times New Roman" w:eastAsia="Times New Roman" w:hAnsi="Times New Roman" w:cs="Times New Roman"/>
        </w:rPr>
        <w:t xml:space="preserve"> </w:t>
      </w:r>
    </w:p>
    <w:p w:rsidR="00D34F34" w:rsidRDefault="000D5841">
      <w:pPr>
        <w:numPr>
          <w:ilvl w:val="0"/>
          <w:numId w:val="2"/>
        </w:numPr>
      </w:pPr>
      <w:r>
        <w:t>法律没有规定有效年限、相关合同或单位申请书也没有规定受益年限的，应当根据无形资产为政府会计主体带来服务潜力或经济利益的实际情况，预计其使用年限；</w:t>
      </w:r>
      <w:r>
        <w:rPr>
          <w:rFonts w:ascii="Times New Roman" w:eastAsia="Times New Roman" w:hAnsi="Times New Roman" w:cs="Times New Roman"/>
        </w:rPr>
        <w:t xml:space="preserve"> </w:t>
      </w:r>
    </w:p>
    <w:p w:rsidR="00D34F34" w:rsidRDefault="000D5841">
      <w:pPr>
        <w:numPr>
          <w:ilvl w:val="0"/>
          <w:numId w:val="2"/>
        </w:numPr>
      </w:pPr>
      <w:r>
        <w:t>非大批量购入、单价小于</w:t>
      </w:r>
      <w:r>
        <w:t xml:space="preserve"> </w:t>
      </w:r>
      <w:r>
        <w:rPr>
          <w:rFonts w:ascii="Times New Roman" w:eastAsia="Times New Roman" w:hAnsi="Times New Roman" w:cs="Times New Roman"/>
        </w:rPr>
        <w:t xml:space="preserve">1000 </w:t>
      </w:r>
      <w:r>
        <w:t>元的无形资产，可以于购买的当期将其成本一次性全部转销。</w:t>
      </w:r>
      <w:r>
        <w:rPr>
          <w:rFonts w:ascii="Times New Roman" w:eastAsia="Times New Roman" w:hAnsi="Times New Roman" w:cs="Times New Roman"/>
        </w:rPr>
        <w:t xml:space="preserve"> </w:t>
      </w:r>
    </w:p>
    <w:p w:rsidR="00D34F34" w:rsidRDefault="000D5841">
      <w:pPr>
        <w:ind w:left="-15"/>
      </w:pPr>
      <w:r>
        <w:lastRenderedPageBreak/>
        <w:t>第十八条</w:t>
      </w:r>
      <w:r>
        <w:rPr>
          <w:rFonts w:ascii="Times New Roman" w:eastAsia="Times New Roman" w:hAnsi="Times New Roman" w:cs="Times New Roman"/>
          <w:b/>
        </w:rPr>
        <w:t xml:space="preserve"> </w:t>
      </w:r>
      <w:r>
        <w:t>政府会计主体应当按月对使用年限有限的无形资产进行摊销，并根据用途计入当期费用或者相关资产成本。</w:t>
      </w:r>
      <w:r>
        <w:rPr>
          <w:rFonts w:ascii="Times New Roman" w:eastAsia="Times New Roman" w:hAnsi="Times New Roman" w:cs="Times New Roman"/>
        </w:rPr>
        <w:t xml:space="preserve"> </w:t>
      </w:r>
    </w:p>
    <w:p w:rsidR="00D34F34" w:rsidRDefault="000D5841">
      <w:pPr>
        <w:ind w:left="-15"/>
      </w:pPr>
      <w:r>
        <w:t>政府会计主体应当采用年限平均法或者工作量法对无形资产进行摊销，应摊销金额为其成本，不考虑预计残值。第十九条</w:t>
      </w:r>
      <w:r>
        <w:rPr>
          <w:rFonts w:ascii="Times New Roman" w:eastAsia="Times New Roman" w:hAnsi="Times New Roman" w:cs="Times New Roman"/>
        </w:rPr>
        <w:t xml:space="preserve"> </w:t>
      </w:r>
      <w:r>
        <w:t>因发生后续支出而增加无形资产成本的，对于使用年限有限的无</w:t>
      </w:r>
      <w:r>
        <w:t>形资产，应当按照重新确定的无形资产成本以及重新确定的摊销年限计算摊销额。</w:t>
      </w:r>
      <w:r>
        <w:rPr>
          <w:rFonts w:ascii="Times New Roman" w:eastAsia="Times New Roman" w:hAnsi="Times New Roman" w:cs="Times New Roman"/>
        </w:rPr>
        <w:t xml:space="preserve"> </w:t>
      </w:r>
    </w:p>
    <w:p w:rsidR="00D34F34" w:rsidRDefault="000D5841">
      <w:pPr>
        <w:spacing w:after="236" w:line="259" w:lineRule="auto"/>
        <w:ind w:left="10" w:right="299" w:hanging="10"/>
        <w:jc w:val="center"/>
      </w:pPr>
      <w:r>
        <w:t>第二十条</w:t>
      </w:r>
      <w:r>
        <w:rPr>
          <w:rFonts w:ascii="Times New Roman" w:eastAsia="Times New Roman" w:hAnsi="Times New Roman" w:cs="Times New Roman"/>
        </w:rPr>
        <w:t xml:space="preserve"> </w:t>
      </w:r>
      <w:r>
        <w:t>使用年限不确定的无形资产不应摊销。</w:t>
      </w:r>
      <w:r>
        <w:rPr>
          <w:rFonts w:ascii="Times New Roman" w:eastAsia="Times New Roman" w:hAnsi="Times New Roman" w:cs="Times New Roman"/>
        </w:rPr>
        <w:t xml:space="preserve"> </w:t>
      </w:r>
    </w:p>
    <w:p w:rsidR="00D34F34" w:rsidRDefault="000D5841">
      <w:pPr>
        <w:spacing w:after="237" w:line="259" w:lineRule="auto"/>
        <w:ind w:left="641" w:firstLine="0"/>
      </w:pPr>
      <w:r>
        <w:rPr>
          <w:rFonts w:ascii="Times New Roman" w:eastAsia="Times New Roman" w:hAnsi="Times New Roman" w:cs="Times New Roman"/>
        </w:rPr>
        <w:t xml:space="preserve"> </w:t>
      </w:r>
    </w:p>
    <w:p w:rsidR="00D34F34" w:rsidRDefault="000D5841">
      <w:pPr>
        <w:pStyle w:val="1"/>
        <w:spacing w:after="236"/>
        <w:ind w:right="167"/>
      </w:pPr>
      <w:r>
        <w:t>第二节</w:t>
      </w:r>
      <w:r>
        <w:rPr>
          <w:rFonts w:ascii="Times New Roman" w:eastAsia="Times New Roman" w:hAnsi="Times New Roman" w:cs="Times New Roman"/>
          <w:b/>
        </w:rPr>
        <w:t xml:space="preserve"> </w:t>
      </w:r>
      <w:r>
        <w:t>无形资产的处置</w:t>
      </w:r>
      <w:r>
        <w:rPr>
          <w:rFonts w:ascii="Times New Roman" w:eastAsia="Times New Roman" w:hAnsi="Times New Roman" w:cs="Times New Roman"/>
          <w:b/>
        </w:rPr>
        <w:t xml:space="preserve"> </w:t>
      </w:r>
    </w:p>
    <w:p w:rsidR="00D34F34" w:rsidRDefault="000D5841">
      <w:pPr>
        <w:ind w:left="-15"/>
      </w:pPr>
      <w:r>
        <w:t>第二十一条</w:t>
      </w:r>
      <w:r>
        <w:rPr>
          <w:rFonts w:ascii="Times New Roman" w:eastAsia="Times New Roman" w:hAnsi="Times New Roman" w:cs="Times New Roman"/>
        </w:rPr>
        <w:t xml:space="preserve"> </w:t>
      </w:r>
      <w:r>
        <w:t>政府会计主体按规定报经批准出售无形资产，应当将无形资产账面价值转销计入当期费用，并将处置收入大于相关处置税费后的差额按规定计入当期收入或者做</w:t>
      </w:r>
      <w:r>
        <w:lastRenderedPageBreak/>
        <w:t>应缴款项处理，将处置收入小于相关处置税费后的差额计入当期费用。</w:t>
      </w:r>
      <w:r>
        <w:rPr>
          <w:rFonts w:ascii="Times New Roman" w:eastAsia="Times New Roman" w:hAnsi="Times New Roman" w:cs="Times New Roman"/>
        </w:rPr>
        <w:t xml:space="preserve"> </w:t>
      </w:r>
    </w:p>
    <w:p w:rsidR="00D34F34" w:rsidRDefault="000D5841">
      <w:pPr>
        <w:ind w:left="-15"/>
      </w:pPr>
      <w:r>
        <w:t>第二十二条</w:t>
      </w:r>
      <w:r>
        <w:rPr>
          <w:rFonts w:ascii="Times New Roman" w:eastAsia="Times New Roman" w:hAnsi="Times New Roman" w:cs="Times New Roman"/>
        </w:rPr>
        <w:t xml:space="preserve"> </w:t>
      </w:r>
      <w:r>
        <w:t>政府会计主体按规定报经批准对外捐赠、无偿调出无形资产的，应当将无形资产的账面价值予以转销，对外捐赠、无偿调出中发生的归属于捐出方</w:t>
      </w:r>
      <w:r>
        <w:t>、调出方的相关费用应当计入当期费用。</w:t>
      </w:r>
      <w:r>
        <w:rPr>
          <w:rFonts w:ascii="Times New Roman" w:eastAsia="Times New Roman" w:hAnsi="Times New Roman" w:cs="Times New Roman"/>
        </w:rPr>
        <w:t xml:space="preserve"> </w:t>
      </w:r>
    </w:p>
    <w:p w:rsidR="00D34F34" w:rsidRDefault="000D5841">
      <w:pPr>
        <w:ind w:left="-15"/>
      </w:pPr>
      <w:r>
        <w:t>第二十三条</w:t>
      </w:r>
      <w:r>
        <w:rPr>
          <w:rFonts w:ascii="Times New Roman" w:eastAsia="Times New Roman" w:hAnsi="Times New Roman" w:cs="Times New Roman"/>
          <w:b/>
        </w:rPr>
        <w:t xml:space="preserve"> </w:t>
      </w:r>
      <w:r>
        <w:t>政府会计主体按规定报经批准以无形资产对外投资的，应当将该无形资产的账面价值予以转销，并将无形资产在对外投资时的评估价值与其账面价值的差额计入当期收入或费用。</w:t>
      </w:r>
      <w:r>
        <w:rPr>
          <w:rFonts w:ascii="Times New Roman" w:eastAsia="Times New Roman" w:hAnsi="Times New Roman" w:cs="Times New Roman"/>
        </w:rPr>
        <w:t xml:space="preserve"> </w:t>
      </w:r>
    </w:p>
    <w:p w:rsidR="00D34F34" w:rsidRDefault="000D5841">
      <w:pPr>
        <w:ind w:left="-15"/>
      </w:pPr>
      <w:r>
        <w:t>第二十四条</w:t>
      </w:r>
      <w:r>
        <w:rPr>
          <w:rFonts w:ascii="Times New Roman" w:eastAsia="Times New Roman" w:hAnsi="Times New Roman" w:cs="Times New Roman"/>
        </w:rPr>
        <w:t xml:space="preserve"> </w:t>
      </w:r>
      <w:r>
        <w:t>无形资产预期不能为政府会计主体带来服务潜力或者经济利益的，应当在报经批准后将该无形资产的账面价值予以转销。</w:t>
      </w:r>
      <w:r>
        <w:rPr>
          <w:rFonts w:ascii="Times New Roman" w:eastAsia="Times New Roman" w:hAnsi="Times New Roman" w:cs="Times New Roman"/>
        </w:rPr>
        <w:t xml:space="preserve"> </w:t>
      </w:r>
    </w:p>
    <w:p w:rsidR="00D34F34" w:rsidRDefault="000D5841">
      <w:pPr>
        <w:spacing w:after="0" w:line="259" w:lineRule="auto"/>
        <w:ind w:left="641" w:firstLine="0"/>
      </w:pPr>
      <w:r>
        <w:rPr>
          <w:rFonts w:ascii="Times New Roman" w:eastAsia="Times New Roman" w:hAnsi="Times New Roman" w:cs="Times New Roman"/>
        </w:rPr>
        <w:t xml:space="preserve"> </w:t>
      </w:r>
    </w:p>
    <w:p w:rsidR="00D34F34" w:rsidRDefault="000D5841">
      <w:pPr>
        <w:pStyle w:val="1"/>
      </w:pPr>
      <w:r>
        <w:lastRenderedPageBreak/>
        <w:t>第五章</w:t>
      </w:r>
      <w:r>
        <w:rPr>
          <w:rFonts w:ascii="Times New Roman" w:eastAsia="Times New Roman" w:hAnsi="Times New Roman" w:cs="Times New Roman"/>
        </w:rPr>
        <w:t xml:space="preserve"> </w:t>
      </w:r>
      <w:r>
        <w:t>无形资产的披露</w:t>
      </w:r>
      <w:r>
        <w:rPr>
          <w:rFonts w:ascii="Times New Roman" w:eastAsia="Times New Roman" w:hAnsi="Times New Roman" w:cs="Times New Roman"/>
        </w:rPr>
        <w:t xml:space="preserve"> </w:t>
      </w:r>
    </w:p>
    <w:p w:rsidR="00D34F34" w:rsidRDefault="000D5841">
      <w:pPr>
        <w:ind w:left="-15"/>
      </w:pPr>
      <w:r>
        <w:t>第二十五条</w:t>
      </w:r>
      <w:r>
        <w:rPr>
          <w:rFonts w:ascii="Times New Roman" w:eastAsia="Times New Roman" w:hAnsi="Times New Roman" w:cs="Times New Roman"/>
        </w:rPr>
        <w:t xml:space="preserve"> </w:t>
      </w:r>
      <w:r>
        <w:t>政府会计主体应当按照无形资产的类别在附注中披露与无形资产有关的下列信息：</w:t>
      </w:r>
      <w:r>
        <w:rPr>
          <w:rFonts w:ascii="Times New Roman" w:eastAsia="Times New Roman" w:hAnsi="Times New Roman" w:cs="Times New Roman"/>
        </w:rPr>
        <w:t xml:space="preserve"> </w:t>
      </w:r>
    </w:p>
    <w:p w:rsidR="00D34F34" w:rsidRDefault="000D5841">
      <w:pPr>
        <w:numPr>
          <w:ilvl w:val="0"/>
          <w:numId w:val="3"/>
        </w:numPr>
      </w:pPr>
      <w:r>
        <w:t>无形资产账面余额、累计摊销额、账面价值的期初、期末数及其本期</w:t>
      </w:r>
      <w:r>
        <w:t>变动情况。</w:t>
      </w:r>
      <w:r>
        <w:rPr>
          <w:rFonts w:ascii="Times New Roman" w:eastAsia="Times New Roman" w:hAnsi="Times New Roman" w:cs="Times New Roman"/>
        </w:rPr>
        <w:t xml:space="preserve"> </w:t>
      </w:r>
    </w:p>
    <w:p w:rsidR="00D34F34" w:rsidRDefault="000D5841">
      <w:pPr>
        <w:numPr>
          <w:ilvl w:val="0"/>
          <w:numId w:val="3"/>
        </w:numPr>
      </w:pPr>
      <w:r>
        <w:t>自行开发无形资产的名称、数量，以及账面余额和累计摊销额的变动情况。</w:t>
      </w:r>
      <w:r>
        <w:rPr>
          <w:rFonts w:ascii="Times New Roman" w:eastAsia="Times New Roman" w:hAnsi="Times New Roman" w:cs="Times New Roman"/>
        </w:rPr>
        <w:t xml:space="preserve"> </w:t>
      </w:r>
    </w:p>
    <w:p w:rsidR="00D34F34" w:rsidRDefault="000D5841">
      <w:pPr>
        <w:numPr>
          <w:ilvl w:val="0"/>
          <w:numId w:val="3"/>
        </w:numPr>
      </w:pPr>
      <w:r>
        <w:t>以名义金额计量的无形资产名称、数量，以及以名义金额计量的理由。</w:t>
      </w:r>
      <w:r>
        <w:rPr>
          <w:rFonts w:ascii="Times New Roman" w:eastAsia="Times New Roman" w:hAnsi="Times New Roman" w:cs="Times New Roman"/>
        </w:rPr>
        <w:t xml:space="preserve"> </w:t>
      </w:r>
    </w:p>
    <w:p w:rsidR="00D34F34" w:rsidRDefault="000D5841">
      <w:pPr>
        <w:numPr>
          <w:ilvl w:val="0"/>
          <w:numId w:val="3"/>
        </w:numPr>
      </w:pPr>
      <w:r>
        <w:t>接受捐赠、无偿调入无形资产的名称、数量等情况。</w:t>
      </w:r>
      <w:r>
        <w:rPr>
          <w:rFonts w:ascii="Times New Roman" w:eastAsia="Times New Roman" w:hAnsi="Times New Roman" w:cs="Times New Roman"/>
        </w:rPr>
        <w:t xml:space="preserve"> </w:t>
      </w:r>
    </w:p>
    <w:p w:rsidR="00D34F34" w:rsidRDefault="000D5841">
      <w:pPr>
        <w:numPr>
          <w:ilvl w:val="0"/>
          <w:numId w:val="3"/>
        </w:numPr>
        <w:spacing w:after="28" w:line="387" w:lineRule="auto"/>
      </w:pPr>
      <w:r>
        <w:t>使用年限有限的无形资产，其使用年限的估计情况；使用年限不确定的无形资产，其使用年限不确定的确定依据。</w:t>
      </w:r>
      <w:r>
        <w:rPr>
          <w:rFonts w:ascii="Times New Roman" w:eastAsia="Times New Roman" w:hAnsi="Times New Roman" w:cs="Times New Roman"/>
        </w:rPr>
        <w:t xml:space="preserve"> </w:t>
      </w:r>
    </w:p>
    <w:p w:rsidR="00D34F34" w:rsidRDefault="000D5841">
      <w:pPr>
        <w:numPr>
          <w:ilvl w:val="0"/>
          <w:numId w:val="3"/>
        </w:numPr>
        <w:spacing w:after="226" w:line="259" w:lineRule="auto"/>
      </w:pPr>
      <w:r>
        <w:lastRenderedPageBreak/>
        <w:t>无形资产出售、对外投资等重要资产处置的情况。</w:t>
      </w:r>
      <w:r>
        <w:rPr>
          <w:rFonts w:ascii="Times New Roman" w:eastAsia="Times New Roman" w:hAnsi="Times New Roman" w:cs="Times New Roman"/>
        </w:rPr>
        <w:t xml:space="preserve"> </w:t>
      </w:r>
    </w:p>
    <w:p w:rsidR="00D34F34" w:rsidRDefault="000D5841">
      <w:pPr>
        <w:spacing w:after="236" w:line="259" w:lineRule="auto"/>
        <w:ind w:left="641" w:firstLine="0"/>
      </w:pPr>
      <w:r>
        <w:rPr>
          <w:rFonts w:ascii="Times New Roman" w:eastAsia="Times New Roman" w:hAnsi="Times New Roman" w:cs="Times New Roman"/>
        </w:rPr>
        <w:t xml:space="preserve"> </w:t>
      </w:r>
    </w:p>
    <w:p w:rsidR="00D34F34" w:rsidRDefault="000D5841">
      <w:pPr>
        <w:pStyle w:val="1"/>
      </w:pPr>
      <w:r>
        <w:t>第六章</w:t>
      </w:r>
      <w:r>
        <w:rPr>
          <w:rFonts w:ascii="Times New Roman" w:eastAsia="Times New Roman" w:hAnsi="Times New Roman" w:cs="Times New Roman"/>
        </w:rPr>
        <w:t xml:space="preserve"> </w:t>
      </w:r>
      <w:r>
        <w:t>附</w:t>
      </w:r>
      <w:r>
        <w:rPr>
          <w:rFonts w:ascii="Times New Roman" w:eastAsia="Times New Roman" w:hAnsi="Times New Roman" w:cs="Times New Roman"/>
        </w:rPr>
        <w:t xml:space="preserve"> </w:t>
      </w:r>
      <w:r>
        <w:t>则</w:t>
      </w:r>
      <w:r>
        <w:rPr>
          <w:rFonts w:ascii="Times New Roman" w:eastAsia="Times New Roman" w:hAnsi="Times New Roman" w:cs="Times New Roman"/>
        </w:rPr>
        <w:t xml:space="preserve"> </w:t>
      </w:r>
    </w:p>
    <w:p w:rsidR="00D34F34" w:rsidRDefault="000D5841">
      <w:pPr>
        <w:spacing w:after="229" w:line="259" w:lineRule="auto"/>
        <w:ind w:left="643" w:firstLine="0"/>
      </w:pPr>
      <w:r>
        <w:t>第二十六条</w:t>
      </w:r>
      <w:r>
        <w:rPr>
          <w:rFonts w:ascii="Times New Roman" w:eastAsia="Times New Roman" w:hAnsi="Times New Roman" w:cs="Times New Roman"/>
        </w:rPr>
        <w:t xml:space="preserve"> </w:t>
      </w:r>
      <w:r>
        <w:t>本准则自</w:t>
      </w:r>
      <w:r>
        <w:t xml:space="preserve"> </w:t>
      </w:r>
      <w:r>
        <w:rPr>
          <w:rFonts w:ascii="Times New Roman" w:eastAsia="Times New Roman" w:hAnsi="Times New Roman" w:cs="Times New Roman"/>
        </w:rPr>
        <w:t xml:space="preserve">2017 </w:t>
      </w:r>
      <w:r>
        <w:t>年</w:t>
      </w:r>
      <w:r>
        <w:t xml:space="preserve"> </w:t>
      </w:r>
      <w:r>
        <w:rPr>
          <w:rFonts w:ascii="Times New Roman" w:eastAsia="Times New Roman" w:hAnsi="Times New Roman" w:cs="Times New Roman"/>
        </w:rPr>
        <w:t xml:space="preserve">1 </w:t>
      </w:r>
      <w:r>
        <w:t>月</w:t>
      </w:r>
      <w:r>
        <w:t xml:space="preserve"> </w:t>
      </w:r>
      <w:r>
        <w:rPr>
          <w:rFonts w:ascii="Times New Roman" w:eastAsia="Times New Roman" w:hAnsi="Times New Roman" w:cs="Times New Roman"/>
        </w:rPr>
        <w:t xml:space="preserve">1 </w:t>
      </w:r>
      <w:r>
        <w:t>日起施行。</w:t>
      </w:r>
      <w:r>
        <w:rPr>
          <w:rFonts w:ascii="Times New Roman" w:eastAsia="Times New Roman" w:hAnsi="Times New Roman" w:cs="Times New Roman"/>
        </w:rPr>
        <w:t xml:space="preserve"> </w:t>
      </w:r>
    </w:p>
    <w:p w:rsidR="00D34F34" w:rsidRDefault="000D5841">
      <w:pPr>
        <w:spacing w:after="0" w:line="259" w:lineRule="auto"/>
        <w:ind w:left="641" w:firstLine="0"/>
      </w:pPr>
      <w:r>
        <w:rPr>
          <w:rFonts w:ascii="Times New Roman" w:eastAsia="Times New Roman" w:hAnsi="Times New Roman" w:cs="Times New Roman"/>
        </w:rPr>
        <w:t xml:space="preserve"> </w:t>
      </w:r>
    </w:p>
    <w:sectPr w:rsidR="00D34F34">
      <w:footerReference w:type="even" r:id="rId7"/>
      <w:footerReference w:type="default" r:id="rId8"/>
      <w:footerReference w:type="first" r:id="rId9"/>
      <w:pgSz w:w="11906" w:h="16838"/>
      <w:pgMar w:top="1589" w:right="1637" w:bottom="1801" w:left="1800" w:header="720" w:footer="9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841" w:rsidRDefault="000D5841">
      <w:pPr>
        <w:spacing w:after="0" w:line="240" w:lineRule="auto"/>
      </w:pPr>
      <w:r>
        <w:separator/>
      </w:r>
    </w:p>
  </w:endnote>
  <w:endnote w:type="continuationSeparator" w:id="0">
    <w:p w:rsidR="000D5841" w:rsidRDefault="000D5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F34" w:rsidRDefault="000D5841">
    <w:pPr>
      <w:tabs>
        <w:tab w:val="center" w:pos="4154"/>
      </w:tabs>
      <w:spacing w:after="0" w:line="259" w:lineRule="auto"/>
      <w:ind w:firstLine="0"/>
    </w:pP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F34" w:rsidRDefault="000D5841">
    <w:pPr>
      <w:tabs>
        <w:tab w:val="center" w:pos="4154"/>
      </w:tabs>
      <w:spacing w:after="0" w:line="259" w:lineRule="auto"/>
      <w:ind w:firstLine="0"/>
    </w:pP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fldChar w:fldCharType="begin"/>
    </w:r>
    <w:r>
      <w:instrText xml:space="preserve"> PAGE   \* MERGEFORMAT </w:instrText>
    </w:r>
    <w:r>
      <w:fldChar w:fldCharType="separate"/>
    </w:r>
    <w:r w:rsidR="00687756" w:rsidRPr="00687756">
      <w:rPr>
        <w:rFonts w:ascii="Times New Roman" w:eastAsia="Times New Roman" w:hAnsi="Times New Roman" w:cs="Times New Roman"/>
        <w:noProof/>
        <w:sz w:val="18"/>
      </w:rPr>
      <w:t>11</w:t>
    </w:r>
    <w:r>
      <w:rPr>
        <w:rFonts w:ascii="Times New Roman" w:eastAsia="Times New Roman" w:hAnsi="Times New Roman" w:cs="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F34" w:rsidRDefault="000D5841">
    <w:pPr>
      <w:tabs>
        <w:tab w:val="center" w:pos="4154"/>
      </w:tabs>
      <w:spacing w:after="0" w:line="259" w:lineRule="auto"/>
      <w:ind w:firstLine="0"/>
    </w:pP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841" w:rsidRDefault="000D5841">
      <w:pPr>
        <w:spacing w:after="0" w:line="240" w:lineRule="auto"/>
      </w:pPr>
      <w:r>
        <w:separator/>
      </w:r>
    </w:p>
  </w:footnote>
  <w:footnote w:type="continuationSeparator" w:id="0">
    <w:p w:rsidR="000D5841" w:rsidRDefault="000D58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034C1"/>
    <w:multiLevelType w:val="hybridMultilevel"/>
    <w:tmpl w:val="35321CC2"/>
    <w:lvl w:ilvl="0" w:tplc="84F07E60">
      <w:start w:val="1"/>
      <w:numFmt w:val="ideographDigital"/>
      <w:lvlText w:val="（%1）"/>
      <w:lvlJc w:val="left"/>
      <w:pPr>
        <w:ind w:left="0"/>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C186A422">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46348FFC">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2ED03424">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BA1659E2">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B8D8C342">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6D16459C">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C8F85E76">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64940704">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25444D8F"/>
    <w:multiLevelType w:val="hybridMultilevel"/>
    <w:tmpl w:val="7B04B488"/>
    <w:lvl w:ilvl="0" w:tplc="5868E05E">
      <w:start w:val="1"/>
      <w:numFmt w:val="ideographDigital"/>
      <w:lvlText w:val="（%1）"/>
      <w:lvlJc w:val="left"/>
      <w:pPr>
        <w:ind w:left="0"/>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22241A26">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8ACE8B8C">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15FA773E">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09380BCC">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D312E59A">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ED965C18">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912845E2">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429E0BDA">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4A85102B"/>
    <w:multiLevelType w:val="hybridMultilevel"/>
    <w:tmpl w:val="07F49DE2"/>
    <w:lvl w:ilvl="0" w:tplc="81B47058">
      <w:start w:val="1"/>
      <w:numFmt w:val="ideographDigital"/>
      <w:lvlText w:val="（%1）"/>
      <w:lvlJc w:val="left"/>
      <w:pPr>
        <w:ind w:left="0"/>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78DE4802">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C5E8CFEE">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7EA87B46">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BE4CE756">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7DFA7218">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A3B4ACBC">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4356A39C">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18943E4C">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F34"/>
    <w:rsid w:val="000D5841"/>
    <w:rsid w:val="00687756"/>
    <w:rsid w:val="00D34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5EE78C-0080-48EC-AD16-46A1949E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396" w:lineRule="auto"/>
      <w:ind w:firstLine="633"/>
    </w:pPr>
    <w:rPr>
      <w:rFonts w:ascii="微软雅黑" w:eastAsia="微软雅黑" w:hAnsi="微软雅黑" w:cs="微软雅黑"/>
      <w:color w:val="000000"/>
      <w:sz w:val="32"/>
    </w:rPr>
  </w:style>
  <w:style w:type="paragraph" w:styleId="1">
    <w:name w:val="heading 1"/>
    <w:next w:val="a"/>
    <w:link w:val="1Char"/>
    <w:uiPriority w:val="9"/>
    <w:unhideWhenUsed/>
    <w:qFormat/>
    <w:pPr>
      <w:keepNext/>
      <w:keepLines/>
      <w:spacing w:after="234" w:line="259" w:lineRule="auto"/>
      <w:ind w:left="10" w:right="163" w:hanging="10"/>
      <w:jc w:val="center"/>
      <w:outlineLvl w:val="0"/>
    </w:pPr>
    <w:rPr>
      <w:rFonts w:ascii="微软雅黑" w:eastAsia="微软雅黑" w:hAnsi="微软雅黑" w:cs="微软雅黑"/>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ascii="微软雅黑" w:eastAsia="微软雅黑" w:hAnsi="微软雅黑" w:cs="微软雅黑"/>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436</Words>
  <Characters>2487</Characters>
  <Application>Microsoft Office Word</Application>
  <DocSecurity>0</DocSecurity>
  <Lines>20</Lines>
  <Paragraphs>5</Paragraphs>
  <ScaleCrop>false</ScaleCrop>
  <Company>Microsoft</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王小荣</dc:creator>
  <cp:keywords/>
  <cp:lastModifiedBy>CY1002</cp:lastModifiedBy>
  <cp:revision>2</cp:revision>
  <dcterms:created xsi:type="dcterms:W3CDTF">2018-12-03T07:39:00Z</dcterms:created>
  <dcterms:modified xsi:type="dcterms:W3CDTF">2018-12-03T07:39:00Z</dcterms:modified>
</cp:coreProperties>
</file>