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37" w:rsidRDefault="00876F29">
      <w:pPr>
        <w:spacing w:after="252" w:line="259" w:lineRule="auto"/>
        <w:ind w:left="-15" w:firstLine="0"/>
      </w:pPr>
      <w:bookmarkStart w:id="0" w:name="_GoBack"/>
      <w:bookmarkEnd w:id="0"/>
      <w:r>
        <w:t>附件</w:t>
      </w:r>
      <w:r>
        <w:t xml:space="preserve"> </w:t>
      </w:r>
      <w:r>
        <w:rPr>
          <w:rFonts w:ascii="Times New Roman" w:eastAsia="Times New Roman" w:hAnsi="Times New Roman" w:cs="Times New Roman"/>
        </w:rPr>
        <w:t>3</w:t>
      </w:r>
      <w:r>
        <w:t>：</w:t>
      </w:r>
      <w:r>
        <w:rPr>
          <w:rFonts w:ascii="Times New Roman" w:eastAsia="Times New Roman" w:hAnsi="Times New Roman" w:cs="Times New Roman"/>
        </w:rPr>
        <w:t xml:space="preserve"> </w:t>
      </w:r>
    </w:p>
    <w:p w:rsidR="00E94737" w:rsidRDefault="00876F29">
      <w:pPr>
        <w:spacing w:after="144" w:line="259" w:lineRule="auto"/>
        <w:ind w:right="163" w:firstLine="0"/>
        <w:jc w:val="center"/>
      </w:pPr>
      <w:r>
        <w:rPr>
          <w:sz w:val="36"/>
        </w:rPr>
        <w:t>政府会计</w:t>
      </w:r>
      <w:proofErr w:type="gramStart"/>
      <w:r>
        <w:rPr>
          <w:sz w:val="36"/>
        </w:rPr>
        <w:t>准则第</w:t>
      </w:r>
      <w:proofErr w:type="gramEnd"/>
      <w:r>
        <w:rPr>
          <w:sz w:val="36"/>
        </w:rPr>
        <w:t xml:space="preserve"> </w:t>
      </w:r>
      <w:r>
        <w:rPr>
          <w:rFonts w:ascii="Times New Roman" w:eastAsia="Times New Roman" w:hAnsi="Times New Roman" w:cs="Times New Roman"/>
          <w:b/>
          <w:sz w:val="36"/>
        </w:rPr>
        <w:t xml:space="preserve">3 </w:t>
      </w:r>
      <w:r>
        <w:rPr>
          <w:sz w:val="36"/>
        </w:rPr>
        <w:t>号</w:t>
      </w:r>
      <w:r>
        <w:rPr>
          <w:rFonts w:ascii="Times New Roman" w:eastAsia="Times New Roman" w:hAnsi="Times New Roman" w:cs="Times New Roman"/>
          <w:b/>
          <w:sz w:val="36"/>
        </w:rPr>
        <w:t>——</w:t>
      </w:r>
      <w:r>
        <w:rPr>
          <w:sz w:val="36"/>
        </w:rPr>
        <w:t>固定资产</w:t>
      </w:r>
      <w:r>
        <w:rPr>
          <w:rFonts w:ascii="Times New Roman" w:eastAsia="Times New Roman" w:hAnsi="Times New Roman" w:cs="Times New Roman"/>
          <w:b/>
          <w:sz w:val="36"/>
        </w:rPr>
        <w:t xml:space="preserve"> </w:t>
      </w:r>
    </w:p>
    <w:p w:rsidR="00E94737" w:rsidRDefault="00876F29">
      <w:pPr>
        <w:spacing w:after="236" w:line="259" w:lineRule="auto"/>
        <w:ind w:right="83" w:firstLine="0"/>
        <w:jc w:val="center"/>
      </w:pPr>
      <w:r>
        <w:rPr>
          <w:rFonts w:ascii="Times New Roman" w:eastAsia="Times New Roman" w:hAnsi="Times New Roman" w:cs="Times New Roman"/>
        </w:rPr>
        <w:t xml:space="preserve"> </w:t>
      </w:r>
    </w:p>
    <w:p w:rsidR="00E94737" w:rsidRDefault="00876F29">
      <w:pPr>
        <w:pStyle w:val="1"/>
      </w:pPr>
      <w:r>
        <w:t>第一章</w:t>
      </w:r>
      <w:r>
        <w:rPr>
          <w:rFonts w:ascii="Times New Roman" w:eastAsia="Times New Roman" w:hAnsi="Times New Roman" w:cs="Times New Roman"/>
        </w:rPr>
        <w:t xml:space="preserve"> </w:t>
      </w:r>
      <w:r>
        <w:t>总</w:t>
      </w:r>
      <w:r>
        <w:rPr>
          <w:rFonts w:ascii="Times New Roman" w:eastAsia="Times New Roman" w:hAnsi="Times New Roman" w:cs="Times New Roman"/>
        </w:rPr>
        <w:t xml:space="preserve"> </w:t>
      </w:r>
      <w:r>
        <w:t>则</w:t>
      </w:r>
      <w:r>
        <w:rPr>
          <w:rFonts w:ascii="Times New Roman" w:eastAsia="Times New Roman" w:hAnsi="Times New Roman" w:cs="Times New Roman"/>
        </w:rPr>
        <w:t xml:space="preserve"> </w:t>
      </w:r>
    </w:p>
    <w:p w:rsidR="00E94737" w:rsidRDefault="00876F29">
      <w:pPr>
        <w:ind w:left="-15"/>
      </w:pPr>
      <w:r>
        <w:t>第一条</w:t>
      </w:r>
      <w:r>
        <w:rPr>
          <w:rFonts w:ascii="Times New Roman" w:eastAsia="Times New Roman" w:hAnsi="Times New Roman" w:cs="Times New Roman"/>
        </w:rPr>
        <w:t xml:space="preserve"> </w:t>
      </w:r>
      <w:r>
        <w:t>为了规范固定资产的确认、计量和相关信息的披露，根据《政府会计准则</w:t>
      </w:r>
      <w:r>
        <w:rPr>
          <w:rFonts w:ascii="Times New Roman" w:eastAsia="Times New Roman" w:hAnsi="Times New Roman" w:cs="Times New Roman"/>
        </w:rPr>
        <w:t>——</w:t>
      </w:r>
      <w:r>
        <w:t>基本准则》，制定本准则。</w:t>
      </w:r>
      <w:r>
        <w:rPr>
          <w:rFonts w:ascii="Times New Roman" w:eastAsia="Times New Roman" w:hAnsi="Times New Roman" w:cs="Times New Roman"/>
        </w:rPr>
        <w:t xml:space="preserve"> </w:t>
      </w:r>
    </w:p>
    <w:p w:rsidR="00E94737" w:rsidRDefault="00876F29">
      <w:pPr>
        <w:spacing w:after="8" w:line="403" w:lineRule="auto"/>
        <w:ind w:left="-15" w:right="146"/>
        <w:jc w:val="both"/>
      </w:pPr>
      <w:r>
        <w:t>第二条</w:t>
      </w:r>
      <w:r>
        <w:rPr>
          <w:rFonts w:ascii="Times New Roman" w:eastAsia="Times New Roman" w:hAnsi="Times New Roman" w:cs="Times New Roman"/>
        </w:rPr>
        <w:t xml:space="preserve"> </w:t>
      </w:r>
      <w:r>
        <w:t>本准则所称固定资产，是指政府会计主体为满足自身开展业务活动或其他活动需要而控制的，使用年限超过</w:t>
      </w:r>
      <w:r>
        <w:t xml:space="preserve"> </w:t>
      </w:r>
      <w:r>
        <w:rPr>
          <w:rFonts w:ascii="Times New Roman" w:eastAsia="Times New Roman" w:hAnsi="Times New Roman" w:cs="Times New Roman"/>
        </w:rPr>
        <w:t xml:space="preserve">1 </w:t>
      </w:r>
      <w:r>
        <w:t>年（不含</w:t>
      </w:r>
      <w:r>
        <w:t xml:space="preserve"> </w:t>
      </w:r>
      <w:r>
        <w:rPr>
          <w:rFonts w:ascii="Times New Roman" w:eastAsia="Times New Roman" w:hAnsi="Times New Roman" w:cs="Times New Roman"/>
        </w:rPr>
        <w:t xml:space="preserve">1 </w:t>
      </w:r>
      <w:r>
        <w:t>年）、单位价值在规定标准以上，并在使用过程中基本保持原有物质形态的资产，一般包括房屋及构筑物、专用设备、通用设备等。</w:t>
      </w:r>
      <w:r>
        <w:rPr>
          <w:rFonts w:ascii="Times New Roman" w:eastAsia="Times New Roman" w:hAnsi="Times New Roman" w:cs="Times New Roman"/>
        </w:rPr>
        <w:t xml:space="preserve"> </w:t>
      </w:r>
    </w:p>
    <w:p w:rsidR="00E94737" w:rsidRDefault="00876F29">
      <w:pPr>
        <w:spacing w:after="8" w:line="403" w:lineRule="auto"/>
        <w:ind w:left="-15" w:right="146"/>
        <w:jc w:val="both"/>
      </w:pPr>
      <w:r>
        <w:t>单位价值虽未达到规定标准，但是使用年限超过</w:t>
      </w:r>
      <w:r>
        <w:t xml:space="preserve"> </w:t>
      </w:r>
      <w:r>
        <w:rPr>
          <w:rFonts w:ascii="Times New Roman" w:eastAsia="Times New Roman" w:hAnsi="Times New Roman" w:cs="Times New Roman"/>
        </w:rPr>
        <w:t xml:space="preserve">1 </w:t>
      </w:r>
      <w:r>
        <w:t>年（不含</w:t>
      </w:r>
      <w:r>
        <w:t xml:space="preserve"> </w:t>
      </w:r>
      <w:r>
        <w:rPr>
          <w:rFonts w:ascii="Times New Roman" w:eastAsia="Times New Roman" w:hAnsi="Times New Roman" w:cs="Times New Roman"/>
        </w:rPr>
        <w:t xml:space="preserve">1 </w:t>
      </w:r>
      <w:r>
        <w:t>年）的大批同类物资，如图书、家具、用具、装具等，应当确认为固定资产。</w:t>
      </w:r>
      <w:r>
        <w:rPr>
          <w:rFonts w:ascii="Times New Roman" w:eastAsia="Times New Roman" w:hAnsi="Times New Roman" w:cs="Times New Roman"/>
        </w:rPr>
        <w:t xml:space="preserve"> </w:t>
      </w:r>
    </w:p>
    <w:p w:rsidR="00E94737" w:rsidRDefault="00876F29">
      <w:pPr>
        <w:ind w:left="-15"/>
      </w:pPr>
      <w:r>
        <w:lastRenderedPageBreak/>
        <w:t>第三条</w:t>
      </w:r>
      <w:r>
        <w:rPr>
          <w:rFonts w:ascii="Times New Roman" w:eastAsia="Times New Roman" w:hAnsi="Times New Roman" w:cs="Times New Roman"/>
        </w:rPr>
        <w:t xml:space="preserve"> </w:t>
      </w:r>
      <w:r>
        <w:t>公共基础设施、政府储备物资、保障性住房、自然资源资产等，适用其他相关政府会计准则。</w:t>
      </w:r>
      <w:r>
        <w:rPr>
          <w:rFonts w:ascii="Times New Roman" w:eastAsia="Times New Roman" w:hAnsi="Times New Roman" w:cs="Times New Roman"/>
        </w:rPr>
        <w:t xml:space="preserve"> </w:t>
      </w:r>
    </w:p>
    <w:p w:rsidR="00E94737" w:rsidRDefault="00876F29">
      <w:pPr>
        <w:spacing w:after="237" w:line="259" w:lineRule="auto"/>
        <w:ind w:left="641" w:firstLine="0"/>
      </w:pPr>
      <w:r>
        <w:rPr>
          <w:rFonts w:ascii="Times New Roman" w:eastAsia="Times New Roman" w:hAnsi="Times New Roman" w:cs="Times New Roman"/>
        </w:rPr>
        <w:t xml:space="preserve"> </w:t>
      </w:r>
    </w:p>
    <w:p w:rsidR="00E94737" w:rsidRDefault="00876F29">
      <w:pPr>
        <w:pStyle w:val="1"/>
        <w:ind w:right="163"/>
      </w:pPr>
      <w:r>
        <w:t>第二章</w:t>
      </w:r>
      <w:r>
        <w:rPr>
          <w:rFonts w:ascii="Times New Roman" w:eastAsia="Times New Roman" w:hAnsi="Times New Roman" w:cs="Times New Roman"/>
        </w:rPr>
        <w:t xml:space="preserve"> </w:t>
      </w:r>
      <w:r>
        <w:t>固定资产的确认</w:t>
      </w:r>
      <w:r>
        <w:rPr>
          <w:rFonts w:ascii="Times New Roman" w:eastAsia="Times New Roman" w:hAnsi="Times New Roman" w:cs="Times New Roman"/>
        </w:rPr>
        <w:t xml:space="preserve"> </w:t>
      </w:r>
    </w:p>
    <w:p w:rsidR="00E94737" w:rsidRDefault="00876F29">
      <w:pPr>
        <w:spacing w:after="229" w:line="259" w:lineRule="auto"/>
        <w:ind w:left="10" w:hanging="10"/>
        <w:jc w:val="right"/>
      </w:pPr>
      <w:r>
        <w:t>第四条</w:t>
      </w:r>
      <w:r>
        <w:rPr>
          <w:rFonts w:ascii="Times New Roman" w:eastAsia="Times New Roman" w:hAnsi="Times New Roman" w:cs="Times New Roman"/>
        </w:rPr>
        <w:t xml:space="preserve"> </w:t>
      </w:r>
      <w:r>
        <w:t>固定资产同时满足下列条件的，应当予以确认：</w:t>
      </w:r>
      <w:r>
        <w:rPr>
          <w:rFonts w:ascii="Times New Roman" w:eastAsia="Times New Roman" w:hAnsi="Times New Roman" w:cs="Times New Roman"/>
        </w:rPr>
        <w:t xml:space="preserve"> </w:t>
      </w:r>
    </w:p>
    <w:p w:rsidR="00E94737" w:rsidRDefault="00876F29">
      <w:pPr>
        <w:numPr>
          <w:ilvl w:val="0"/>
          <w:numId w:val="1"/>
        </w:numPr>
      </w:pPr>
      <w:r>
        <w:t>与该固定资产相关的服务潜力很可能实现或者经济利益很可能流入政府会计主体；</w:t>
      </w:r>
      <w:r>
        <w:rPr>
          <w:rFonts w:ascii="Times New Roman" w:eastAsia="Times New Roman" w:hAnsi="Times New Roman" w:cs="Times New Roman"/>
        </w:rPr>
        <w:t xml:space="preserve"> </w:t>
      </w:r>
    </w:p>
    <w:p w:rsidR="00E94737" w:rsidRDefault="00876F29">
      <w:pPr>
        <w:numPr>
          <w:ilvl w:val="0"/>
          <w:numId w:val="1"/>
        </w:numPr>
        <w:spacing w:after="232" w:line="259" w:lineRule="auto"/>
      </w:pPr>
      <w:r>
        <w:t>该固定资产的成本或者价值能够可靠地计量。</w:t>
      </w:r>
      <w:r>
        <w:rPr>
          <w:rFonts w:ascii="Times New Roman" w:eastAsia="Times New Roman" w:hAnsi="Times New Roman" w:cs="Times New Roman"/>
        </w:rPr>
        <w:t xml:space="preserve"> </w:t>
      </w:r>
    </w:p>
    <w:p w:rsidR="00E94737" w:rsidRDefault="00876F29">
      <w:pPr>
        <w:spacing w:after="229" w:line="259" w:lineRule="auto"/>
        <w:ind w:left="10" w:right="150" w:hanging="10"/>
        <w:jc w:val="right"/>
      </w:pPr>
      <w:r>
        <w:t>第五条</w:t>
      </w:r>
      <w:r>
        <w:rPr>
          <w:rFonts w:ascii="Times New Roman" w:eastAsia="Times New Roman" w:hAnsi="Times New Roman" w:cs="Times New Roman"/>
        </w:rPr>
        <w:t xml:space="preserve"> </w:t>
      </w:r>
      <w:r>
        <w:t>通常情况下，购入、换入、接受捐赠、无偿调</w:t>
      </w:r>
    </w:p>
    <w:p w:rsidR="00E94737" w:rsidRDefault="00876F29">
      <w:pPr>
        <w:ind w:left="-15" w:firstLine="0"/>
      </w:pPr>
      <w:r>
        <w:t>入不需安装的固定资产，在固定资产验收合格时确认；购入、换入、接受捐赠、无偿调入需要安装的固定资产，在固定资产安装完成交付使用时确认；自行建造、改建、扩建的固定资产，在建造完成交付使用时确认。</w:t>
      </w:r>
      <w:r>
        <w:rPr>
          <w:rFonts w:ascii="Times New Roman" w:eastAsia="Times New Roman" w:hAnsi="Times New Roman" w:cs="Times New Roman"/>
        </w:rPr>
        <w:t xml:space="preserve"> </w:t>
      </w:r>
    </w:p>
    <w:p w:rsidR="00E94737" w:rsidRDefault="00876F29">
      <w:pPr>
        <w:spacing w:after="227" w:line="259" w:lineRule="auto"/>
        <w:ind w:left="643" w:firstLine="0"/>
      </w:pPr>
      <w:r>
        <w:t>第六条</w:t>
      </w:r>
      <w:r>
        <w:rPr>
          <w:rFonts w:ascii="Times New Roman" w:eastAsia="Times New Roman" w:hAnsi="Times New Roman" w:cs="Times New Roman"/>
        </w:rPr>
        <w:t xml:space="preserve"> </w:t>
      </w:r>
      <w:r>
        <w:t>确认固定资产时，应当考虑以下情况：</w:t>
      </w:r>
      <w:r>
        <w:rPr>
          <w:rFonts w:ascii="Times New Roman" w:eastAsia="Times New Roman" w:hAnsi="Times New Roman" w:cs="Times New Roman"/>
        </w:rPr>
        <w:t xml:space="preserve"> </w:t>
      </w:r>
    </w:p>
    <w:p w:rsidR="00E94737" w:rsidRDefault="00876F29">
      <w:pPr>
        <w:numPr>
          <w:ilvl w:val="0"/>
          <w:numId w:val="2"/>
        </w:numPr>
      </w:pPr>
      <w:r>
        <w:lastRenderedPageBreak/>
        <w:t>固定资产的各组成部分具有不同使用年限或者以不同方式为政府会计主体实现服务潜力或提供经济利益，适用不同折旧率或折旧方法且可以分别确定各自原价的，应当分别将各组成部分确认为单项固定资产。</w:t>
      </w:r>
      <w:r>
        <w:rPr>
          <w:rFonts w:ascii="Times New Roman" w:eastAsia="Times New Roman" w:hAnsi="Times New Roman" w:cs="Times New Roman"/>
        </w:rPr>
        <w:t xml:space="preserve"> </w:t>
      </w:r>
    </w:p>
    <w:p w:rsidR="00E94737" w:rsidRDefault="00876F29">
      <w:pPr>
        <w:numPr>
          <w:ilvl w:val="0"/>
          <w:numId w:val="2"/>
        </w:numPr>
      </w:pPr>
      <w:r>
        <w:t>应用软件构成相关硬件不可缺少的组成部分的，应当将该软件的价值包括在所属的硬件价值中，一</w:t>
      </w:r>
      <w:r>
        <w:t>并确认为固定资产；不构成相关硬件不可缺少的组成部分的，应当将该软件确认为无形资产。</w:t>
      </w:r>
      <w:r>
        <w:rPr>
          <w:rFonts w:ascii="Times New Roman" w:eastAsia="Times New Roman" w:hAnsi="Times New Roman" w:cs="Times New Roman"/>
        </w:rPr>
        <w:t xml:space="preserve"> </w:t>
      </w:r>
    </w:p>
    <w:p w:rsidR="00E94737" w:rsidRDefault="00876F29">
      <w:pPr>
        <w:numPr>
          <w:ilvl w:val="0"/>
          <w:numId w:val="2"/>
        </w:numPr>
      </w:pPr>
      <w:r>
        <w:t>购建房屋及构筑物时，不能分清</w:t>
      </w:r>
      <w:proofErr w:type="gramStart"/>
      <w:r>
        <w:t>购建成</w:t>
      </w:r>
      <w:proofErr w:type="gramEnd"/>
      <w:r>
        <w:t>本中的房屋及构筑物部分与土地使用权部分的，应当全部确认为固定资产；能够分清</w:t>
      </w:r>
      <w:proofErr w:type="gramStart"/>
      <w:r>
        <w:t>购建成</w:t>
      </w:r>
      <w:proofErr w:type="gramEnd"/>
      <w:r>
        <w:t>本中的房屋及构筑物部分与土地使用权部分的，应当将其中的房屋及构筑物部分确认为固定资产，将其中的土地使用权部分确认为无形资产。</w:t>
      </w:r>
      <w:r>
        <w:rPr>
          <w:rFonts w:ascii="Times New Roman" w:eastAsia="Times New Roman" w:hAnsi="Times New Roman" w:cs="Times New Roman"/>
        </w:rPr>
        <w:t xml:space="preserve"> </w:t>
      </w:r>
    </w:p>
    <w:p w:rsidR="00E94737" w:rsidRDefault="00876F29">
      <w:pPr>
        <w:spacing w:after="220"/>
        <w:ind w:left="-15"/>
      </w:pPr>
      <w:r>
        <w:t>第七条</w:t>
      </w:r>
      <w:r>
        <w:rPr>
          <w:rFonts w:ascii="Times New Roman" w:eastAsia="Times New Roman" w:hAnsi="Times New Roman" w:cs="Times New Roman"/>
        </w:rPr>
        <w:t xml:space="preserve"> </w:t>
      </w:r>
      <w:r>
        <w:t>固定资产在使用过程中发生的后续支出，符合本准则第四条规定的确认条件的，应当计入固定资产成本；不</w:t>
      </w:r>
      <w:r>
        <w:lastRenderedPageBreak/>
        <w:t>符合本准则第四条规定的确认条件的，应当在发生时计入当期费用或者相关资产成本。</w:t>
      </w:r>
      <w:r>
        <w:rPr>
          <w:rFonts w:ascii="Times New Roman" w:eastAsia="Times New Roman" w:hAnsi="Times New Roman" w:cs="Times New Roman"/>
        </w:rPr>
        <w:t xml:space="preserve"> </w:t>
      </w:r>
    </w:p>
    <w:p w:rsidR="00E94737" w:rsidRDefault="00876F29">
      <w:pPr>
        <w:ind w:left="-15"/>
      </w:pPr>
      <w:r>
        <w:t>将发生的固定资产后续支出计入固定资产成本的，应当同时从固定资产账面价值中扣除被替换部分的账面价值。</w:t>
      </w:r>
      <w:r>
        <w:rPr>
          <w:rFonts w:ascii="Times New Roman" w:eastAsia="Times New Roman" w:hAnsi="Times New Roman" w:cs="Times New Roman"/>
        </w:rPr>
        <w:t xml:space="preserve"> </w:t>
      </w:r>
    </w:p>
    <w:p w:rsidR="00E94737" w:rsidRDefault="00876F29">
      <w:pPr>
        <w:spacing w:after="229" w:line="259" w:lineRule="auto"/>
        <w:ind w:right="83" w:firstLine="0"/>
        <w:jc w:val="center"/>
      </w:pPr>
      <w:r>
        <w:rPr>
          <w:rFonts w:ascii="Times New Roman" w:eastAsia="Times New Roman" w:hAnsi="Times New Roman" w:cs="Times New Roman"/>
          <w:b/>
        </w:rPr>
        <w:t xml:space="preserve"> </w:t>
      </w:r>
    </w:p>
    <w:p w:rsidR="00E94737" w:rsidRDefault="00876F29">
      <w:pPr>
        <w:pStyle w:val="1"/>
        <w:ind w:right="160"/>
      </w:pPr>
      <w:r>
        <w:t>第三章</w:t>
      </w:r>
      <w:r>
        <w:rPr>
          <w:rFonts w:ascii="Times New Roman" w:eastAsia="Times New Roman" w:hAnsi="Times New Roman" w:cs="Times New Roman"/>
        </w:rPr>
        <w:t xml:space="preserve"> </w:t>
      </w:r>
      <w:r>
        <w:t>固定资产的初始计量</w:t>
      </w:r>
      <w:r>
        <w:rPr>
          <w:rFonts w:ascii="Times New Roman" w:eastAsia="Times New Roman" w:hAnsi="Times New Roman" w:cs="Times New Roman"/>
        </w:rPr>
        <w:t xml:space="preserve"> </w:t>
      </w:r>
    </w:p>
    <w:p w:rsidR="00E94737" w:rsidRDefault="00876F29">
      <w:pPr>
        <w:ind w:left="-15"/>
      </w:pPr>
      <w:r>
        <w:t>第八条</w:t>
      </w:r>
      <w:r>
        <w:rPr>
          <w:rFonts w:ascii="Times New Roman" w:eastAsia="Times New Roman" w:hAnsi="Times New Roman" w:cs="Times New Roman"/>
        </w:rPr>
        <w:t xml:space="preserve"> </w:t>
      </w:r>
      <w:r>
        <w:t>固定资产在取得时应当按照成本进行初始计量。</w:t>
      </w:r>
      <w:r>
        <w:rPr>
          <w:rFonts w:ascii="Times New Roman" w:eastAsia="Times New Roman" w:hAnsi="Times New Roman" w:cs="Times New Roman"/>
        </w:rPr>
        <w:t xml:space="preserve"> </w:t>
      </w:r>
    </w:p>
    <w:p w:rsidR="00E94737" w:rsidRDefault="00876F29">
      <w:pPr>
        <w:ind w:left="-15"/>
      </w:pPr>
      <w:r>
        <w:t>第九条</w:t>
      </w:r>
      <w:r>
        <w:rPr>
          <w:rFonts w:ascii="Times New Roman" w:eastAsia="Times New Roman" w:hAnsi="Times New Roman" w:cs="Times New Roman"/>
        </w:rPr>
        <w:t xml:space="preserve"> </w:t>
      </w:r>
      <w:r>
        <w:t>政府会计主体外购的固定资产，其成本包括购买价款、相关税费以及固定资产交付使用前所发生的可归属于该项资产的运输费、装卸费、安装费和专业人员服务费等。</w:t>
      </w:r>
      <w:r>
        <w:rPr>
          <w:rFonts w:ascii="Times New Roman" w:eastAsia="Times New Roman" w:hAnsi="Times New Roman" w:cs="Times New Roman"/>
        </w:rPr>
        <w:t xml:space="preserve"> </w:t>
      </w:r>
    </w:p>
    <w:p w:rsidR="00E94737" w:rsidRDefault="00876F29">
      <w:pPr>
        <w:ind w:left="-15"/>
      </w:pPr>
      <w:r>
        <w:t>以一笔款项购入多项没有单独标价的固定资产，应当按照各项固定资产同类或类似资产市场价格的比例对总成本进行分配，分别确定各项固定资产的成本。</w:t>
      </w:r>
      <w:r>
        <w:rPr>
          <w:rFonts w:ascii="Times New Roman" w:eastAsia="Times New Roman" w:hAnsi="Times New Roman" w:cs="Times New Roman"/>
        </w:rPr>
        <w:t xml:space="preserve"> </w:t>
      </w:r>
    </w:p>
    <w:p w:rsidR="00E94737" w:rsidRDefault="00876F29">
      <w:pPr>
        <w:ind w:left="-15"/>
      </w:pPr>
      <w:r>
        <w:t>第十条</w:t>
      </w:r>
      <w:r>
        <w:rPr>
          <w:rFonts w:ascii="Times New Roman" w:eastAsia="Times New Roman" w:hAnsi="Times New Roman" w:cs="Times New Roman"/>
        </w:rPr>
        <w:t xml:space="preserve"> </w:t>
      </w:r>
      <w:r>
        <w:t>政府会计主体自行</w:t>
      </w:r>
      <w:r>
        <w:t>建造的固定资产，其成本包括该项资产至交付使用前所发生的全部必要支出。</w:t>
      </w:r>
      <w:r>
        <w:rPr>
          <w:rFonts w:ascii="Times New Roman" w:eastAsia="Times New Roman" w:hAnsi="Times New Roman" w:cs="Times New Roman"/>
        </w:rPr>
        <w:t xml:space="preserve"> </w:t>
      </w:r>
    </w:p>
    <w:p w:rsidR="00E94737" w:rsidRDefault="00876F29">
      <w:pPr>
        <w:ind w:left="-15"/>
      </w:pPr>
      <w:r>
        <w:lastRenderedPageBreak/>
        <w:t>在原有固定资产基础上进行改建、扩建、修缮后的固定资产，其成本按照原固定资产账面价值加上改建、扩建、修缮发生的支出，再扣除固定资产被替换部分的账面价值后的金额确定。</w:t>
      </w:r>
      <w:r>
        <w:rPr>
          <w:rFonts w:ascii="Times New Roman" w:eastAsia="Times New Roman" w:hAnsi="Times New Roman" w:cs="Times New Roman"/>
        </w:rPr>
        <w:t xml:space="preserve"> </w:t>
      </w:r>
    </w:p>
    <w:p w:rsidR="00E94737" w:rsidRDefault="00876F29">
      <w:pPr>
        <w:ind w:left="-15"/>
      </w:pPr>
      <w:r>
        <w:t>为建造固定资产借入的专门借款的利息，属于建设期间发生的，计入在建工程成本；不属于建设期间发生的，计入当期费用。已交付使用但尚未办理竣工决算手续的固定资产，应当按照估计价值入账，待办理竣工决算后再按实际成本调整原来的暂估价值。</w:t>
      </w:r>
      <w:r>
        <w:rPr>
          <w:rFonts w:ascii="Times New Roman" w:eastAsia="Times New Roman" w:hAnsi="Times New Roman" w:cs="Times New Roman"/>
        </w:rPr>
        <w:t xml:space="preserve"> </w:t>
      </w:r>
    </w:p>
    <w:p w:rsidR="00E94737" w:rsidRDefault="00876F29">
      <w:pPr>
        <w:ind w:left="-15"/>
      </w:pPr>
      <w:r>
        <w:t>第十一条</w:t>
      </w:r>
      <w:r>
        <w:rPr>
          <w:rFonts w:ascii="Times New Roman" w:eastAsia="Times New Roman" w:hAnsi="Times New Roman" w:cs="Times New Roman"/>
        </w:rPr>
        <w:t xml:space="preserve"> </w:t>
      </w:r>
      <w:r>
        <w:t>政府会计主体通过置换取得的固定资产，</w:t>
      </w:r>
      <w:r>
        <w:t>其成本按照换出资产的评估价值加上支付的补价或减去收到的补价，加上换入固定资产发生的其他相关支出确定。</w:t>
      </w:r>
      <w:r>
        <w:rPr>
          <w:rFonts w:ascii="Times New Roman" w:eastAsia="Times New Roman" w:hAnsi="Times New Roman" w:cs="Times New Roman"/>
        </w:rPr>
        <w:t xml:space="preserve"> </w:t>
      </w:r>
    </w:p>
    <w:p w:rsidR="00E94737" w:rsidRDefault="00876F29">
      <w:pPr>
        <w:ind w:left="-15"/>
      </w:pPr>
      <w:r>
        <w:t>第十二条</w:t>
      </w:r>
      <w:r>
        <w:rPr>
          <w:rFonts w:ascii="Times New Roman" w:eastAsia="Times New Roman" w:hAnsi="Times New Roman" w:cs="Times New Roman"/>
          <w:b/>
        </w:rPr>
        <w:t xml:space="preserve"> </w:t>
      </w:r>
      <w:r>
        <w:t>政府会计主体接受捐赠的固定资产，其成本按照有关凭据注明的金额加上相关税费、运输费等确定；没有相关凭据可供取得，但按规定经过资产评估的，其成本按照</w:t>
      </w:r>
      <w:r>
        <w:lastRenderedPageBreak/>
        <w:t>评估价值加上相关税费、运输费等确定；没有相关凭据可供取得、也未经资产评估的，其成本比照同类或类似资产的市场价格加上相关税费、运输费等确定；没有相关凭据且未经资产评估、同类或类似资产的市场价格也无法可靠取得的，按照名义金额入账，相关税费、运输费等计入当期费</w:t>
      </w:r>
      <w:r>
        <w:t>用。</w:t>
      </w:r>
      <w:r>
        <w:rPr>
          <w:rFonts w:ascii="Times New Roman" w:eastAsia="Times New Roman" w:hAnsi="Times New Roman" w:cs="Times New Roman"/>
        </w:rPr>
        <w:t xml:space="preserve"> </w:t>
      </w:r>
    </w:p>
    <w:p w:rsidR="00E94737" w:rsidRDefault="00876F29">
      <w:pPr>
        <w:ind w:left="-15"/>
      </w:pPr>
      <w:r>
        <w:t>如受赠的系旧的固定资产，在确定其初始入账成本时应当考虑该项资产的新旧程度。</w:t>
      </w:r>
      <w:r>
        <w:rPr>
          <w:rFonts w:ascii="Times New Roman" w:eastAsia="Times New Roman" w:hAnsi="Times New Roman" w:cs="Times New Roman"/>
        </w:rPr>
        <w:t xml:space="preserve"> </w:t>
      </w:r>
    </w:p>
    <w:p w:rsidR="00E94737" w:rsidRDefault="00876F29">
      <w:pPr>
        <w:ind w:left="-15"/>
      </w:pPr>
      <w:r>
        <w:t>第十三条</w:t>
      </w:r>
      <w:r>
        <w:rPr>
          <w:rFonts w:ascii="Times New Roman" w:eastAsia="Times New Roman" w:hAnsi="Times New Roman" w:cs="Times New Roman"/>
          <w:b/>
        </w:rPr>
        <w:t xml:space="preserve"> </w:t>
      </w:r>
      <w:r>
        <w:t>政府会计主体无偿调入的固定资产，其成本按照调出方账面价值加上相关税费、运输费等确定。</w:t>
      </w:r>
      <w:r>
        <w:rPr>
          <w:rFonts w:ascii="Times New Roman" w:eastAsia="Times New Roman" w:hAnsi="Times New Roman" w:cs="Times New Roman"/>
        </w:rPr>
        <w:t xml:space="preserve"> </w:t>
      </w:r>
    </w:p>
    <w:p w:rsidR="00E94737" w:rsidRDefault="00876F29">
      <w:pPr>
        <w:ind w:left="-15"/>
      </w:pPr>
      <w:r>
        <w:t>第十四条</w:t>
      </w:r>
      <w:r>
        <w:rPr>
          <w:rFonts w:ascii="Times New Roman" w:eastAsia="Times New Roman" w:hAnsi="Times New Roman" w:cs="Times New Roman"/>
          <w:b/>
        </w:rPr>
        <w:t xml:space="preserve"> </w:t>
      </w:r>
      <w:r>
        <w:t>政府会计主体盘盈的固定资产，按规定经过资产评估的，其成本按照评估价值确定；未经资产评估的，其成本按照重置成本确定。</w:t>
      </w:r>
      <w:r>
        <w:rPr>
          <w:rFonts w:ascii="Times New Roman" w:eastAsia="Times New Roman" w:hAnsi="Times New Roman" w:cs="Times New Roman"/>
        </w:rPr>
        <w:t xml:space="preserve"> </w:t>
      </w:r>
    </w:p>
    <w:p w:rsidR="00E94737" w:rsidRDefault="00876F29">
      <w:pPr>
        <w:spacing w:after="229" w:line="259" w:lineRule="auto"/>
        <w:ind w:left="10" w:right="150" w:hanging="10"/>
        <w:jc w:val="right"/>
      </w:pPr>
      <w:r>
        <w:t>第十五条</w:t>
      </w:r>
      <w:r>
        <w:rPr>
          <w:rFonts w:ascii="Times New Roman" w:eastAsia="Times New Roman" w:hAnsi="Times New Roman" w:cs="Times New Roman"/>
        </w:rPr>
        <w:t xml:space="preserve"> </w:t>
      </w:r>
      <w:r>
        <w:t>政府会计主体融资租赁取得的固定资产，其成本按照其他相关政府会计准则确定。</w:t>
      </w:r>
      <w:r>
        <w:rPr>
          <w:rFonts w:ascii="Times New Roman" w:eastAsia="Times New Roman" w:hAnsi="Times New Roman" w:cs="Times New Roman"/>
        </w:rPr>
        <w:t xml:space="preserve"> </w:t>
      </w:r>
    </w:p>
    <w:p w:rsidR="00E94737" w:rsidRDefault="00876F29">
      <w:pPr>
        <w:spacing w:after="229" w:line="259" w:lineRule="auto"/>
        <w:ind w:right="83" w:firstLine="0"/>
        <w:jc w:val="center"/>
      </w:pPr>
      <w:r>
        <w:rPr>
          <w:rFonts w:ascii="Times New Roman" w:eastAsia="Times New Roman" w:hAnsi="Times New Roman" w:cs="Times New Roman"/>
          <w:b/>
        </w:rPr>
        <w:t xml:space="preserve"> </w:t>
      </w:r>
    </w:p>
    <w:p w:rsidR="00E94737" w:rsidRDefault="00876F29">
      <w:pPr>
        <w:pStyle w:val="1"/>
        <w:ind w:right="160"/>
      </w:pPr>
      <w:r>
        <w:lastRenderedPageBreak/>
        <w:t>第四章</w:t>
      </w:r>
      <w:r>
        <w:rPr>
          <w:rFonts w:ascii="Times New Roman" w:eastAsia="Times New Roman" w:hAnsi="Times New Roman" w:cs="Times New Roman"/>
        </w:rPr>
        <w:t xml:space="preserve"> </w:t>
      </w:r>
      <w:r>
        <w:t>固定资产的后续计量</w:t>
      </w:r>
      <w:r>
        <w:rPr>
          <w:rFonts w:ascii="Times New Roman" w:eastAsia="Times New Roman" w:hAnsi="Times New Roman" w:cs="Times New Roman"/>
        </w:rPr>
        <w:t xml:space="preserve"> </w:t>
      </w:r>
    </w:p>
    <w:p w:rsidR="00E94737" w:rsidRDefault="00876F29">
      <w:pPr>
        <w:spacing w:after="229" w:line="259" w:lineRule="auto"/>
        <w:ind w:right="83" w:firstLine="0"/>
        <w:jc w:val="center"/>
      </w:pPr>
      <w:r>
        <w:rPr>
          <w:rFonts w:ascii="Times New Roman" w:eastAsia="Times New Roman" w:hAnsi="Times New Roman" w:cs="Times New Roman"/>
          <w:b/>
        </w:rPr>
        <w:t xml:space="preserve"> </w:t>
      </w:r>
    </w:p>
    <w:p w:rsidR="00E94737" w:rsidRDefault="00876F29">
      <w:pPr>
        <w:spacing w:after="232" w:line="259" w:lineRule="auto"/>
        <w:ind w:left="181" w:right="337" w:hanging="10"/>
        <w:jc w:val="center"/>
      </w:pPr>
      <w:r>
        <w:t>第一节</w:t>
      </w:r>
      <w:r>
        <w:rPr>
          <w:rFonts w:ascii="Times New Roman" w:eastAsia="Times New Roman" w:hAnsi="Times New Roman" w:cs="Times New Roman"/>
          <w:b/>
        </w:rPr>
        <w:t xml:space="preserve"> </w:t>
      </w:r>
      <w:r>
        <w:t>固定资产的折旧</w:t>
      </w:r>
      <w:r>
        <w:rPr>
          <w:rFonts w:ascii="Times New Roman" w:eastAsia="Times New Roman" w:hAnsi="Times New Roman" w:cs="Times New Roman"/>
          <w:b/>
        </w:rPr>
        <w:t xml:space="preserve"> </w:t>
      </w:r>
    </w:p>
    <w:p w:rsidR="00E94737" w:rsidRDefault="00876F29">
      <w:pPr>
        <w:ind w:left="-15"/>
      </w:pPr>
      <w:r>
        <w:t>第十六条</w:t>
      </w:r>
      <w:r>
        <w:rPr>
          <w:rFonts w:ascii="Times New Roman" w:eastAsia="Times New Roman" w:hAnsi="Times New Roman" w:cs="Times New Roman"/>
        </w:rPr>
        <w:t xml:space="preserve"> </w:t>
      </w:r>
      <w:r>
        <w:t>政府会计主体应当对固定资产计提折旧，但本准则第十七条规定的固定资产除外。</w:t>
      </w:r>
      <w:r>
        <w:rPr>
          <w:rFonts w:ascii="Times New Roman" w:eastAsia="Times New Roman" w:hAnsi="Times New Roman" w:cs="Times New Roman"/>
        </w:rPr>
        <w:t xml:space="preserve"> </w:t>
      </w:r>
    </w:p>
    <w:p w:rsidR="00E94737" w:rsidRDefault="00876F29">
      <w:pPr>
        <w:ind w:left="-15"/>
      </w:pPr>
      <w:r>
        <w:t>折旧，是指在固定资产的预计使用年限内，按照确定的方法对应计的折旧额进行系统分摊。</w:t>
      </w:r>
      <w:r>
        <w:rPr>
          <w:rFonts w:ascii="Times New Roman" w:eastAsia="Times New Roman" w:hAnsi="Times New Roman" w:cs="Times New Roman"/>
        </w:rPr>
        <w:t xml:space="preserve"> </w:t>
      </w:r>
    </w:p>
    <w:p w:rsidR="00E94737" w:rsidRDefault="00876F29">
      <w:pPr>
        <w:ind w:left="-15"/>
      </w:pPr>
      <w:r>
        <w:t>固定资产应计的折旧额为其成本，计提固定资产折旧时不考虑预计净残值。</w:t>
      </w:r>
      <w:r>
        <w:rPr>
          <w:rFonts w:ascii="Times New Roman" w:eastAsia="Times New Roman" w:hAnsi="Times New Roman" w:cs="Times New Roman"/>
        </w:rPr>
        <w:t xml:space="preserve"> </w:t>
      </w:r>
    </w:p>
    <w:p w:rsidR="00E94737" w:rsidRDefault="00876F29">
      <w:pPr>
        <w:ind w:left="-15"/>
      </w:pPr>
      <w:r>
        <w:t>政府会计主体应当</w:t>
      </w:r>
      <w:proofErr w:type="gramStart"/>
      <w:r>
        <w:t>对暂估入账</w:t>
      </w:r>
      <w:proofErr w:type="gramEnd"/>
      <w:r>
        <w:t>的固定资产计提折旧，实际成本确定后不需调整原已计提的折旧额。</w:t>
      </w:r>
      <w:r>
        <w:rPr>
          <w:rFonts w:ascii="Times New Roman" w:eastAsia="Times New Roman" w:hAnsi="Times New Roman" w:cs="Times New Roman"/>
        </w:rPr>
        <w:t xml:space="preserve"> </w:t>
      </w:r>
    </w:p>
    <w:p w:rsidR="00E94737" w:rsidRDefault="00876F29">
      <w:pPr>
        <w:spacing w:after="236" w:line="259" w:lineRule="auto"/>
        <w:ind w:left="643" w:firstLine="0"/>
      </w:pPr>
      <w:r>
        <w:t>第十七条</w:t>
      </w:r>
      <w:r>
        <w:rPr>
          <w:rFonts w:ascii="Times New Roman" w:eastAsia="Times New Roman" w:hAnsi="Times New Roman" w:cs="Times New Roman"/>
        </w:rPr>
        <w:t xml:space="preserve"> </w:t>
      </w:r>
      <w:r>
        <w:t>下列各项固定资产不计提折旧：</w:t>
      </w:r>
      <w:r>
        <w:rPr>
          <w:rFonts w:ascii="Times New Roman" w:eastAsia="Times New Roman" w:hAnsi="Times New Roman" w:cs="Times New Roman"/>
        </w:rPr>
        <w:t xml:space="preserve"> </w:t>
      </w:r>
    </w:p>
    <w:p w:rsidR="00E94737" w:rsidRDefault="00876F29">
      <w:pPr>
        <w:numPr>
          <w:ilvl w:val="0"/>
          <w:numId w:val="3"/>
        </w:numPr>
        <w:spacing w:after="236" w:line="259" w:lineRule="auto"/>
        <w:ind w:hanging="960"/>
      </w:pPr>
      <w:r>
        <w:t>文物和陈列品；</w:t>
      </w:r>
      <w:r>
        <w:rPr>
          <w:rFonts w:ascii="Times New Roman" w:eastAsia="Times New Roman" w:hAnsi="Times New Roman" w:cs="Times New Roman"/>
        </w:rPr>
        <w:t xml:space="preserve"> </w:t>
      </w:r>
    </w:p>
    <w:p w:rsidR="00E94737" w:rsidRDefault="00876F29">
      <w:pPr>
        <w:numPr>
          <w:ilvl w:val="0"/>
          <w:numId w:val="3"/>
        </w:numPr>
        <w:spacing w:after="237" w:line="259" w:lineRule="auto"/>
        <w:ind w:hanging="960"/>
      </w:pPr>
      <w:r>
        <w:t>动植物；</w:t>
      </w:r>
      <w:r>
        <w:rPr>
          <w:rFonts w:ascii="Times New Roman" w:eastAsia="Times New Roman" w:hAnsi="Times New Roman" w:cs="Times New Roman"/>
        </w:rPr>
        <w:t xml:space="preserve"> </w:t>
      </w:r>
    </w:p>
    <w:p w:rsidR="00E94737" w:rsidRDefault="00876F29">
      <w:pPr>
        <w:numPr>
          <w:ilvl w:val="0"/>
          <w:numId w:val="3"/>
        </w:numPr>
        <w:spacing w:after="236" w:line="259" w:lineRule="auto"/>
        <w:ind w:hanging="960"/>
      </w:pPr>
      <w:r>
        <w:t>图书、档案；</w:t>
      </w:r>
      <w:r>
        <w:rPr>
          <w:rFonts w:ascii="Times New Roman" w:eastAsia="Times New Roman" w:hAnsi="Times New Roman" w:cs="Times New Roman"/>
        </w:rPr>
        <w:t xml:space="preserve"> </w:t>
      </w:r>
    </w:p>
    <w:p w:rsidR="00E94737" w:rsidRDefault="00876F29">
      <w:pPr>
        <w:numPr>
          <w:ilvl w:val="0"/>
          <w:numId w:val="3"/>
        </w:numPr>
        <w:spacing w:after="237" w:line="259" w:lineRule="auto"/>
        <w:ind w:hanging="960"/>
      </w:pPr>
      <w:r>
        <w:lastRenderedPageBreak/>
        <w:t>单独计价入账的土地；</w:t>
      </w:r>
      <w:r>
        <w:rPr>
          <w:rFonts w:ascii="Times New Roman" w:eastAsia="Times New Roman" w:hAnsi="Times New Roman" w:cs="Times New Roman"/>
        </w:rPr>
        <w:t xml:space="preserve"> </w:t>
      </w:r>
    </w:p>
    <w:p w:rsidR="00E94737" w:rsidRDefault="00876F29">
      <w:pPr>
        <w:numPr>
          <w:ilvl w:val="0"/>
          <w:numId w:val="3"/>
        </w:numPr>
        <w:spacing w:after="237" w:line="259" w:lineRule="auto"/>
        <w:ind w:hanging="960"/>
      </w:pPr>
      <w:r>
        <w:t>以名义金额计量的固定资产。</w:t>
      </w:r>
      <w:r>
        <w:rPr>
          <w:rFonts w:ascii="Times New Roman" w:eastAsia="Times New Roman" w:hAnsi="Times New Roman" w:cs="Times New Roman"/>
        </w:rPr>
        <w:t xml:space="preserve"> </w:t>
      </w:r>
    </w:p>
    <w:p w:rsidR="00E94737" w:rsidRDefault="00876F29">
      <w:pPr>
        <w:ind w:left="-15"/>
      </w:pPr>
      <w:r>
        <w:t>第十八条</w:t>
      </w:r>
      <w:r>
        <w:rPr>
          <w:rFonts w:ascii="Times New Roman" w:eastAsia="Times New Roman" w:hAnsi="Times New Roman" w:cs="Times New Roman"/>
          <w:b/>
        </w:rPr>
        <w:t xml:space="preserve"> </w:t>
      </w:r>
      <w:r>
        <w:t>政府会计主体应当根据相关规定以及固定资产的性质和使用情况，合理确定固定资产的使用年限。</w:t>
      </w:r>
      <w:r>
        <w:rPr>
          <w:rFonts w:ascii="Times New Roman" w:eastAsia="Times New Roman" w:hAnsi="Times New Roman" w:cs="Times New Roman"/>
        </w:rPr>
        <w:t xml:space="preserve"> </w:t>
      </w:r>
    </w:p>
    <w:p w:rsidR="00E94737" w:rsidRDefault="00876F29">
      <w:pPr>
        <w:ind w:left="641" w:firstLine="0"/>
      </w:pPr>
      <w:r>
        <w:t>固定资产的使用年限一经确定，不得随意变更。政府会计主体确定固定资产使用年限，应当考虑下列因素：</w:t>
      </w:r>
      <w:r>
        <w:rPr>
          <w:rFonts w:ascii="Times New Roman" w:eastAsia="Times New Roman" w:hAnsi="Times New Roman" w:cs="Times New Roman"/>
        </w:rPr>
        <w:t xml:space="preserve"> </w:t>
      </w:r>
    </w:p>
    <w:p w:rsidR="00E94737" w:rsidRDefault="00876F29">
      <w:pPr>
        <w:numPr>
          <w:ilvl w:val="0"/>
          <w:numId w:val="4"/>
        </w:numPr>
        <w:spacing w:after="237" w:line="259" w:lineRule="auto"/>
        <w:ind w:hanging="960"/>
      </w:pPr>
      <w:r>
        <w:t>预计实现服务潜力或提供经济利益的期限；</w:t>
      </w:r>
      <w:r>
        <w:rPr>
          <w:rFonts w:ascii="Times New Roman" w:eastAsia="Times New Roman" w:hAnsi="Times New Roman" w:cs="Times New Roman"/>
        </w:rPr>
        <w:t xml:space="preserve"> </w:t>
      </w:r>
    </w:p>
    <w:p w:rsidR="00E94737" w:rsidRDefault="00876F29">
      <w:pPr>
        <w:numPr>
          <w:ilvl w:val="0"/>
          <w:numId w:val="4"/>
        </w:numPr>
        <w:spacing w:after="237" w:line="259" w:lineRule="auto"/>
        <w:ind w:hanging="960"/>
      </w:pPr>
      <w:r>
        <w:t>预计有形损耗和无形损耗；</w:t>
      </w:r>
      <w:r>
        <w:rPr>
          <w:rFonts w:ascii="Times New Roman" w:eastAsia="Times New Roman" w:hAnsi="Times New Roman" w:cs="Times New Roman"/>
        </w:rPr>
        <w:t xml:space="preserve"> </w:t>
      </w:r>
    </w:p>
    <w:p w:rsidR="00E94737" w:rsidRDefault="00876F29">
      <w:pPr>
        <w:numPr>
          <w:ilvl w:val="0"/>
          <w:numId w:val="4"/>
        </w:numPr>
        <w:spacing w:after="238" w:line="259" w:lineRule="auto"/>
        <w:ind w:hanging="960"/>
      </w:pPr>
      <w:r>
        <w:t>法律或者类似规定对资产使用的限制。</w:t>
      </w:r>
      <w:r>
        <w:rPr>
          <w:rFonts w:ascii="Times New Roman" w:eastAsia="Times New Roman" w:hAnsi="Times New Roman" w:cs="Times New Roman"/>
        </w:rPr>
        <w:t xml:space="preserve"> </w:t>
      </w:r>
    </w:p>
    <w:p w:rsidR="00E94737" w:rsidRDefault="00876F29">
      <w:pPr>
        <w:ind w:left="-15"/>
      </w:pPr>
      <w:r>
        <w:t>第十九条</w:t>
      </w:r>
      <w:r>
        <w:rPr>
          <w:rFonts w:ascii="Times New Roman" w:eastAsia="Times New Roman" w:hAnsi="Times New Roman" w:cs="Times New Roman"/>
        </w:rPr>
        <w:t xml:space="preserve"> </w:t>
      </w:r>
      <w:r>
        <w:t>政府会计主体一般应当采用年限平均法或者工作量法计提固定资产折旧。</w:t>
      </w:r>
      <w:r>
        <w:rPr>
          <w:rFonts w:ascii="Times New Roman" w:eastAsia="Times New Roman" w:hAnsi="Times New Roman" w:cs="Times New Roman"/>
        </w:rPr>
        <w:t xml:space="preserve"> </w:t>
      </w:r>
    </w:p>
    <w:p w:rsidR="00E94737" w:rsidRDefault="00876F29">
      <w:pPr>
        <w:ind w:left="-15"/>
      </w:pPr>
      <w:r>
        <w:t>在确定固定资产的折旧方法时，应当考虑与固定资产相关的服务潜力或经济利益的预期实现方式。</w:t>
      </w:r>
      <w:r>
        <w:rPr>
          <w:rFonts w:ascii="Times New Roman" w:eastAsia="Times New Roman" w:hAnsi="Times New Roman" w:cs="Times New Roman"/>
        </w:rPr>
        <w:t xml:space="preserve"> </w:t>
      </w:r>
    </w:p>
    <w:p w:rsidR="00E94737" w:rsidRDefault="00876F29">
      <w:pPr>
        <w:spacing w:after="237" w:line="259" w:lineRule="auto"/>
        <w:ind w:left="641" w:firstLine="0"/>
      </w:pPr>
      <w:r>
        <w:t>固定资产折旧方法一经确定，不得随意变更。</w:t>
      </w:r>
      <w:r>
        <w:rPr>
          <w:rFonts w:ascii="Times New Roman" w:eastAsia="Times New Roman" w:hAnsi="Times New Roman" w:cs="Times New Roman"/>
        </w:rPr>
        <w:t xml:space="preserve"> </w:t>
      </w:r>
    </w:p>
    <w:p w:rsidR="00E94737" w:rsidRDefault="00876F29">
      <w:pPr>
        <w:ind w:left="-15"/>
      </w:pPr>
      <w:r>
        <w:lastRenderedPageBreak/>
        <w:t>第二</w:t>
      </w:r>
      <w:r>
        <w:t>十条</w:t>
      </w:r>
      <w:r>
        <w:rPr>
          <w:rFonts w:ascii="Times New Roman" w:eastAsia="Times New Roman" w:hAnsi="Times New Roman" w:cs="Times New Roman"/>
        </w:rPr>
        <w:t xml:space="preserve"> </w:t>
      </w:r>
      <w:r>
        <w:t>固定资产应当按月计提折旧，并根据用途计入当期费用或者相关资产成本。</w:t>
      </w:r>
      <w:r>
        <w:rPr>
          <w:rFonts w:ascii="Times New Roman" w:eastAsia="Times New Roman" w:hAnsi="Times New Roman" w:cs="Times New Roman"/>
        </w:rPr>
        <w:t xml:space="preserve"> </w:t>
      </w:r>
    </w:p>
    <w:p w:rsidR="00E94737" w:rsidRDefault="00876F29">
      <w:pPr>
        <w:spacing w:after="227" w:line="259" w:lineRule="auto"/>
        <w:ind w:left="643" w:firstLine="0"/>
      </w:pPr>
      <w:r>
        <w:t>第二十一条</w:t>
      </w:r>
      <w:r>
        <w:rPr>
          <w:rFonts w:ascii="Times New Roman" w:eastAsia="Times New Roman" w:hAnsi="Times New Roman" w:cs="Times New Roman"/>
        </w:rPr>
        <w:t xml:space="preserve"> </w:t>
      </w:r>
      <w:r>
        <w:t>固定资产提足折旧后，无论能否继续使用，</w:t>
      </w:r>
    </w:p>
    <w:p w:rsidR="00E94737" w:rsidRDefault="00876F29">
      <w:pPr>
        <w:ind w:left="-15" w:firstLine="0"/>
      </w:pPr>
      <w:r>
        <w:t>均不再计提折旧；提前报废的固定资产，也不再补提折旧。已提足折旧的固定资产，可以继续使用的，应当继续使用，规范实物管理。</w:t>
      </w:r>
      <w:r>
        <w:rPr>
          <w:rFonts w:ascii="Times New Roman" w:eastAsia="Times New Roman" w:hAnsi="Times New Roman" w:cs="Times New Roman"/>
        </w:rPr>
        <w:t xml:space="preserve"> </w:t>
      </w:r>
    </w:p>
    <w:p w:rsidR="00E94737" w:rsidRDefault="00876F29">
      <w:pPr>
        <w:ind w:left="-15"/>
      </w:pPr>
      <w:r>
        <w:t>第二十二条</w:t>
      </w:r>
      <w:r>
        <w:rPr>
          <w:rFonts w:ascii="Times New Roman" w:eastAsia="Times New Roman" w:hAnsi="Times New Roman" w:cs="Times New Roman"/>
        </w:rPr>
        <w:t xml:space="preserve"> </w:t>
      </w:r>
      <w:r>
        <w:t>固定资产因改建、扩建或修缮等原因而延长其使用年限的，应当按照重新确定的固定资产的成本以及</w:t>
      </w:r>
    </w:p>
    <w:p w:rsidR="00E94737" w:rsidRDefault="00876F29">
      <w:pPr>
        <w:spacing w:after="90" w:line="259" w:lineRule="auto"/>
        <w:ind w:left="-15" w:firstLine="0"/>
      </w:pPr>
      <w:r>
        <w:t>重新确定的折旧年限计算折旧额。</w:t>
      </w:r>
      <w:r>
        <w:rPr>
          <w:rFonts w:ascii="Times New Roman" w:eastAsia="Times New Roman" w:hAnsi="Times New Roman" w:cs="Times New Roman"/>
        </w:rPr>
        <w:t xml:space="preserve"> </w:t>
      </w:r>
    </w:p>
    <w:p w:rsidR="00E94737" w:rsidRDefault="00876F29">
      <w:pPr>
        <w:spacing w:after="299" w:line="259" w:lineRule="auto"/>
        <w:ind w:left="643" w:firstLine="0"/>
      </w:pPr>
      <w:r>
        <w:rPr>
          <w:rFonts w:ascii="Times New Roman" w:eastAsia="Times New Roman" w:hAnsi="Times New Roman" w:cs="Times New Roman"/>
        </w:rPr>
        <w:t xml:space="preserve"> </w:t>
      </w:r>
    </w:p>
    <w:p w:rsidR="00E94737" w:rsidRDefault="00876F29">
      <w:pPr>
        <w:spacing w:after="232" w:line="259" w:lineRule="auto"/>
        <w:ind w:left="181" w:right="334" w:hanging="10"/>
        <w:jc w:val="center"/>
      </w:pPr>
      <w:r>
        <w:t>第二节</w:t>
      </w:r>
      <w:r>
        <w:rPr>
          <w:rFonts w:ascii="Times New Roman" w:eastAsia="Times New Roman" w:hAnsi="Times New Roman" w:cs="Times New Roman"/>
          <w:b/>
        </w:rPr>
        <w:t xml:space="preserve">  </w:t>
      </w:r>
      <w:r>
        <w:t>固定资产的处置</w:t>
      </w:r>
      <w:r>
        <w:rPr>
          <w:rFonts w:ascii="Times New Roman" w:eastAsia="Times New Roman" w:hAnsi="Times New Roman" w:cs="Times New Roman"/>
          <w:b/>
        </w:rPr>
        <w:t xml:space="preserve"> </w:t>
      </w:r>
    </w:p>
    <w:p w:rsidR="00E94737" w:rsidRDefault="00876F29">
      <w:pPr>
        <w:ind w:left="643" w:firstLine="0"/>
      </w:pPr>
      <w:r>
        <w:t>第二十三条</w:t>
      </w:r>
      <w:r>
        <w:rPr>
          <w:rFonts w:ascii="Times New Roman" w:eastAsia="Times New Roman" w:hAnsi="Times New Roman" w:cs="Times New Roman"/>
        </w:rPr>
        <w:t xml:space="preserve"> </w:t>
      </w:r>
      <w:r>
        <w:t>政府会计主体按规定报经批准出售、转让</w:t>
      </w:r>
      <w:r>
        <w:t>固定资产或固定资产报废、毁损的，应当将固定资产账面价值转销计入当期费用，并将处置收入扣除相关处置税</w:t>
      </w:r>
      <w:r>
        <w:lastRenderedPageBreak/>
        <w:t>费后的差额按规定作应缴款项处理（差额为净收益时）或计入当期费用（差额为净损失时）。</w:t>
      </w:r>
      <w:r>
        <w:rPr>
          <w:rFonts w:ascii="Times New Roman" w:eastAsia="Times New Roman" w:hAnsi="Times New Roman" w:cs="Times New Roman"/>
        </w:rPr>
        <w:t xml:space="preserve"> </w:t>
      </w:r>
    </w:p>
    <w:p w:rsidR="00E94737" w:rsidRDefault="00876F29">
      <w:pPr>
        <w:ind w:left="-15"/>
      </w:pPr>
      <w:r>
        <w:t>第二十四条</w:t>
      </w:r>
      <w:r>
        <w:rPr>
          <w:rFonts w:ascii="Times New Roman" w:eastAsia="Times New Roman" w:hAnsi="Times New Roman" w:cs="Times New Roman"/>
        </w:rPr>
        <w:t xml:space="preserve"> </w:t>
      </w:r>
      <w:r>
        <w:t>政府会计主体按规定报经批准对外捐赠、无偿调出固定资产的，应当将固定资产的账面价值予以转销，对外捐赠、无偿调出中发生的归属于捐出方、调出方的相关费用应当计入当期费用。</w:t>
      </w:r>
      <w:r>
        <w:rPr>
          <w:rFonts w:ascii="Times New Roman" w:eastAsia="Times New Roman" w:hAnsi="Times New Roman" w:cs="Times New Roman"/>
        </w:rPr>
        <w:t xml:space="preserve"> </w:t>
      </w:r>
    </w:p>
    <w:p w:rsidR="00E94737" w:rsidRDefault="00876F29">
      <w:pPr>
        <w:ind w:left="-15"/>
      </w:pPr>
      <w:r>
        <w:t>第二十五条</w:t>
      </w:r>
      <w:r>
        <w:rPr>
          <w:rFonts w:ascii="Times New Roman" w:eastAsia="Times New Roman" w:hAnsi="Times New Roman" w:cs="Times New Roman"/>
        </w:rPr>
        <w:t xml:space="preserve"> </w:t>
      </w:r>
      <w:r>
        <w:t>政府会计主体按规定报经批准以固定资产对外投资的，应当将该固定资产的账面价值予以转销，并将固定资产在对外投资时的评估价值与其账面价值的差额</w:t>
      </w:r>
      <w:r>
        <w:t>计入当期收入或费用。</w:t>
      </w:r>
      <w:r>
        <w:rPr>
          <w:rFonts w:ascii="Times New Roman" w:eastAsia="Times New Roman" w:hAnsi="Times New Roman" w:cs="Times New Roman"/>
        </w:rPr>
        <w:t xml:space="preserve"> </w:t>
      </w:r>
    </w:p>
    <w:p w:rsidR="00E94737" w:rsidRDefault="00876F29">
      <w:pPr>
        <w:ind w:left="-15"/>
      </w:pPr>
      <w:r>
        <w:t>第二十六条</w:t>
      </w:r>
      <w:r>
        <w:rPr>
          <w:rFonts w:ascii="Times New Roman" w:eastAsia="Times New Roman" w:hAnsi="Times New Roman" w:cs="Times New Roman"/>
          <w:b/>
        </w:rPr>
        <w:t xml:space="preserve"> </w:t>
      </w:r>
      <w:r>
        <w:t>固定资产盘亏造成的损失，按规定报经批准后应当计入当期费用。</w:t>
      </w:r>
      <w:r>
        <w:rPr>
          <w:rFonts w:ascii="Times New Roman" w:eastAsia="Times New Roman" w:hAnsi="Times New Roman" w:cs="Times New Roman"/>
        </w:rPr>
        <w:t xml:space="preserve"> </w:t>
      </w:r>
    </w:p>
    <w:p w:rsidR="00E94737" w:rsidRDefault="00876F29">
      <w:pPr>
        <w:spacing w:after="237" w:line="259" w:lineRule="auto"/>
        <w:ind w:left="641" w:firstLine="0"/>
      </w:pPr>
      <w:r>
        <w:rPr>
          <w:rFonts w:ascii="Times New Roman" w:eastAsia="Times New Roman" w:hAnsi="Times New Roman" w:cs="Times New Roman"/>
        </w:rPr>
        <w:t xml:space="preserve"> </w:t>
      </w:r>
    </w:p>
    <w:p w:rsidR="00E94737" w:rsidRDefault="00876F29">
      <w:pPr>
        <w:pStyle w:val="1"/>
        <w:ind w:right="163"/>
      </w:pPr>
      <w:r>
        <w:lastRenderedPageBreak/>
        <w:t>第五章</w:t>
      </w:r>
      <w:r>
        <w:rPr>
          <w:rFonts w:ascii="Times New Roman" w:eastAsia="Times New Roman" w:hAnsi="Times New Roman" w:cs="Times New Roman"/>
        </w:rPr>
        <w:t xml:space="preserve"> </w:t>
      </w:r>
      <w:r>
        <w:t>固定资产的披露</w:t>
      </w:r>
      <w:r>
        <w:rPr>
          <w:rFonts w:ascii="Times New Roman" w:eastAsia="Times New Roman" w:hAnsi="Times New Roman" w:cs="Times New Roman"/>
        </w:rPr>
        <w:t xml:space="preserve"> </w:t>
      </w:r>
    </w:p>
    <w:p w:rsidR="00E94737" w:rsidRDefault="00876F29">
      <w:pPr>
        <w:ind w:left="-15"/>
      </w:pPr>
      <w:r>
        <w:t>第二十七条</w:t>
      </w:r>
      <w:r>
        <w:rPr>
          <w:rFonts w:ascii="Times New Roman" w:eastAsia="Times New Roman" w:hAnsi="Times New Roman" w:cs="Times New Roman"/>
        </w:rPr>
        <w:t xml:space="preserve"> </w:t>
      </w:r>
      <w:r>
        <w:t>政府会计主体应当在附注中披露与固定资产有关的下列信息：</w:t>
      </w:r>
      <w:r>
        <w:rPr>
          <w:rFonts w:ascii="Times New Roman" w:eastAsia="Times New Roman" w:hAnsi="Times New Roman" w:cs="Times New Roman"/>
        </w:rPr>
        <w:t xml:space="preserve"> </w:t>
      </w:r>
    </w:p>
    <w:p w:rsidR="00E94737" w:rsidRDefault="00876F29">
      <w:pPr>
        <w:numPr>
          <w:ilvl w:val="0"/>
          <w:numId w:val="5"/>
        </w:numPr>
        <w:spacing w:after="237" w:line="259" w:lineRule="auto"/>
        <w:ind w:hanging="960"/>
      </w:pPr>
      <w:r>
        <w:t>固定资产的分类和折旧方法。</w:t>
      </w:r>
      <w:r>
        <w:rPr>
          <w:rFonts w:ascii="Times New Roman" w:eastAsia="Times New Roman" w:hAnsi="Times New Roman" w:cs="Times New Roman"/>
        </w:rPr>
        <w:t xml:space="preserve"> </w:t>
      </w:r>
    </w:p>
    <w:p w:rsidR="00E94737" w:rsidRDefault="00876F29">
      <w:pPr>
        <w:numPr>
          <w:ilvl w:val="0"/>
          <w:numId w:val="5"/>
        </w:numPr>
        <w:spacing w:after="227" w:line="259" w:lineRule="auto"/>
        <w:ind w:hanging="960"/>
      </w:pPr>
      <w:r>
        <w:t>各类固定资产的使用年限、折旧率。</w:t>
      </w:r>
      <w:r>
        <w:rPr>
          <w:rFonts w:ascii="Times New Roman" w:eastAsia="Times New Roman" w:hAnsi="Times New Roman" w:cs="Times New Roman"/>
        </w:rPr>
        <w:t xml:space="preserve"> </w:t>
      </w:r>
    </w:p>
    <w:p w:rsidR="00E94737" w:rsidRDefault="00876F29">
      <w:pPr>
        <w:numPr>
          <w:ilvl w:val="0"/>
          <w:numId w:val="5"/>
        </w:numPr>
        <w:spacing w:after="229" w:line="259" w:lineRule="auto"/>
        <w:ind w:hanging="960"/>
      </w:pPr>
      <w:r>
        <w:t>各类固定资产账面余额、累计折旧额、账面价值</w:t>
      </w:r>
    </w:p>
    <w:p w:rsidR="00E94737" w:rsidRDefault="00876F29">
      <w:pPr>
        <w:ind w:left="-15" w:firstLine="0"/>
      </w:pPr>
      <w:r>
        <w:t>的期初、期末</w:t>
      </w:r>
      <w:proofErr w:type="gramStart"/>
      <w:r>
        <w:t>数及其</w:t>
      </w:r>
      <w:proofErr w:type="gramEnd"/>
      <w:r>
        <w:t>本期变动情况。（四）以名义金额计量的固定资产名称、数量，以及以名义金额计量的理由。</w:t>
      </w:r>
      <w:r>
        <w:rPr>
          <w:rFonts w:ascii="Times New Roman" w:eastAsia="Times New Roman" w:hAnsi="Times New Roman" w:cs="Times New Roman"/>
        </w:rPr>
        <w:t xml:space="preserve">  </w:t>
      </w:r>
    </w:p>
    <w:p w:rsidR="00E94737" w:rsidRDefault="00876F29">
      <w:pPr>
        <w:numPr>
          <w:ilvl w:val="0"/>
          <w:numId w:val="6"/>
        </w:numPr>
        <w:spacing w:after="232" w:line="259" w:lineRule="auto"/>
      </w:pPr>
      <w:r>
        <w:t>已提足折旧的固定资产名称、数量等情况。</w:t>
      </w:r>
      <w:r>
        <w:rPr>
          <w:rFonts w:ascii="Times New Roman" w:eastAsia="Times New Roman" w:hAnsi="Times New Roman" w:cs="Times New Roman"/>
        </w:rPr>
        <w:t xml:space="preserve"> </w:t>
      </w:r>
    </w:p>
    <w:p w:rsidR="00E94737" w:rsidRDefault="00876F29">
      <w:pPr>
        <w:numPr>
          <w:ilvl w:val="0"/>
          <w:numId w:val="6"/>
        </w:numPr>
      </w:pPr>
      <w:r>
        <w:t>接受捐赠、无偿调入的固定资产名称、数量等情况。</w:t>
      </w:r>
      <w:r>
        <w:rPr>
          <w:rFonts w:ascii="Times New Roman" w:eastAsia="Times New Roman" w:hAnsi="Times New Roman" w:cs="Times New Roman"/>
        </w:rPr>
        <w:t xml:space="preserve"> </w:t>
      </w:r>
    </w:p>
    <w:p w:rsidR="00E94737" w:rsidRDefault="00876F29">
      <w:pPr>
        <w:numPr>
          <w:ilvl w:val="0"/>
          <w:numId w:val="6"/>
        </w:numPr>
        <w:spacing w:after="229" w:line="259" w:lineRule="auto"/>
      </w:pPr>
      <w:r>
        <w:t>出租、出借固定资产以及以固定资产投资的情况。</w:t>
      </w:r>
      <w:r>
        <w:rPr>
          <w:rFonts w:ascii="Times New Roman" w:eastAsia="Times New Roman" w:hAnsi="Times New Roman" w:cs="Times New Roman"/>
        </w:rPr>
        <w:t xml:space="preserve"> </w:t>
      </w:r>
    </w:p>
    <w:p w:rsidR="00E94737" w:rsidRDefault="00876F29">
      <w:pPr>
        <w:numPr>
          <w:ilvl w:val="0"/>
          <w:numId w:val="6"/>
        </w:numPr>
      </w:pPr>
      <w:r>
        <w:t>固定资产对外捐赠、无偿调出、毁损等重要资产处置的情况。</w:t>
      </w:r>
      <w:r>
        <w:rPr>
          <w:rFonts w:ascii="Times New Roman" w:eastAsia="Times New Roman" w:hAnsi="Times New Roman" w:cs="Times New Roman"/>
        </w:rPr>
        <w:t xml:space="preserve"> </w:t>
      </w:r>
    </w:p>
    <w:p w:rsidR="00E94737" w:rsidRDefault="00876F29">
      <w:pPr>
        <w:numPr>
          <w:ilvl w:val="0"/>
          <w:numId w:val="6"/>
        </w:numPr>
        <w:spacing w:after="225" w:line="259" w:lineRule="auto"/>
      </w:pPr>
      <w:proofErr w:type="gramStart"/>
      <w:r>
        <w:t>暂估入账</w:t>
      </w:r>
      <w:proofErr w:type="gramEnd"/>
      <w:r>
        <w:t>的固定资产账面价值变动情况。</w:t>
      </w:r>
      <w:r>
        <w:rPr>
          <w:rFonts w:ascii="Times New Roman" w:eastAsia="Times New Roman" w:hAnsi="Times New Roman" w:cs="Times New Roman"/>
        </w:rPr>
        <w:t xml:space="preserve"> </w:t>
      </w:r>
    </w:p>
    <w:p w:rsidR="00E94737" w:rsidRDefault="00876F29">
      <w:pPr>
        <w:spacing w:after="236" w:line="259" w:lineRule="auto"/>
        <w:ind w:right="83" w:firstLine="0"/>
        <w:jc w:val="center"/>
      </w:pPr>
      <w:r>
        <w:rPr>
          <w:rFonts w:ascii="Times New Roman" w:eastAsia="Times New Roman" w:hAnsi="Times New Roman" w:cs="Times New Roman"/>
        </w:rPr>
        <w:lastRenderedPageBreak/>
        <w:t xml:space="preserve"> </w:t>
      </w:r>
    </w:p>
    <w:p w:rsidR="00E94737" w:rsidRDefault="00876F29">
      <w:pPr>
        <w:pStyle w:val="1"/>
        <w:ind w:right="160"/>
      </w:pPr>
      <w:r>
        <w:t>第六章</w:t>
      </w:r>
      <w:r>
        <w:rPr>
          <w:rFonts w:ascii="Times New Roman" w:eastAsia="Times New Roman" w:hAnsi="Times New Roman" w:cs="Times New Roman"/>
        </w:rPr>
        <w:t xml:space="preserve"> </w:t>
      </w:r>
      <w:r>
        <w:t>附则</w:t>
      </w:r>
      <w:r>
        <w:rPr>
          <w:rFonts w:ascii="Times New Roman" w:eastAsia="Times New Roman" w:hAnsi="Times New Roman" w:cs="Times New Roman"/>
        </w:rPr>
        <w:t xml:space="preserve"> </w:t>
      </w:r>
    </w:p>
    <w:p w:rsidR="00E94737" w:rsidRDefault="00876F29">
      <w:pPr>
        <w:spacing w:line="259" w:lineRule="auto"/>
        <w:ind w:left="643" w:firstLine="0"/>
      </w:pPr>
      <w:r>
        <w:t>第二十八条</w:t>
      </w:r>
      <w:r>
        <w:rPr>
          <w:rFonts w:ascii="Times New Roman" w:eastAsia="Times New Roman" w:hAnsi="Times New Roman" w:cs="Times New Roman"/>
        </w:rPr>
        <w:t xml:space="preserve"> </w:t>
      </w:r>
      <w:r>
        <w:t>本准则自</w:t>
      </w:r>
      <w:r>
        <w:t xml:space="preserve"> </w:t>
      </w:r>
      <w:r>
        <w:rPr>
          <w:rFonts w:ascii="Times New Roman" w:eastAsia="Times New Roman" w:hAnsi="Times New Roman" w:cs="Times New Roman"/>
        </w:rPr>
        <w:t xml:space="preserve">2017 </w:t>
      </w:r>
      <w:r>
        <w:t>年</w:t>
      </w:r>
      <w:r>
        <w:t xml:space="preserve"> </w:t>
      </w:r>
      <w:r>
        <w:rPr>
          <w:rFonts w:ascii="Times New Roman" w:eastAsia="Times New Roman" w:hAnsi="Times New Roman" w:cs="Times New Roman"/>
        </w:rPr>
        <w:t xml:space="preserve">1 </w:t>
      </w:r>
      <w:r>
        <w:t>月</w:t>
      </w:r>
      <w:r>
        <w:t xml:space="preserve"> </w:t>
      </w:r>
      <w:r>
        <w:rPr>
          <w:rFonts w:ascii="Times New Roman" w:eastAsia="Times New Roman" w:hAnsi="Times New Roman" w:cs="Times New Roman"/>
        </w:rPr>
        <w:t xml:space="preserve">1 </w:t>
      </w:r>
      <w:r>
        <w:t>日起施行。</w:t>
      </w:r>
      <w:r>
        <w:rPr>
          <w:rFonts w:ascii="Times New Roman" w:eastAsia="Times New Roman" w:hAnsi="Times New Roman" w:cs="Times New Roman"/>
        </w:rPr>
        <w:t xml:space="preserve"> </w:t>
      </w:r>
    </w:p>
    <w:sectPr w:rsidR="00E94737">
      <w:footerReference w:type="even" r:id="rId7"/>
      <w:footerReference w:type="default" r:id="rId8"/>
      <w:footerReference w:type="first" r:id="rId9"/>
      <w:pgSz w:w="11906" w:h="16838"/>
      <w:pgMar w:top="1589" w:right="1638" w:bottom="1821" w:left="1800" w:header="720" w:footer="9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F29" w:rsidRDefault="00876F29">
      <w:pPr>
        <w:spacing w:after="0" w:line="240" w:lineRule="auto"/>
      </w:pPr>
      <w:r>
        <w:separator/>
      </w:r>
    </w:p>
  </w:endnote>
  <w:endnote w:type="continuationSeparator" w:id="0">
    <w:p w:rsidR="00876F29" w:rsidRDefault="0087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7" w:rsidRDefault="00876F29">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7" w:rsidRDefault="00876F29">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sidR="00592738" w:rsidRPr="00592738">
      <w:rPr>
        <w:rFonts w:ascii="Times New Roman" w:eastAsia="Times New Roman" w:hAnsi="Times New Roman" w:cs="Times New Roman"/>
        <w:noProof/>
        <w:sz w:val="18"/>
      </w:rPr>
      <w:t>5</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7" w:rsidRDefault="00876F29">
    <w:pPr>
      <w:tabs>
        <w:tab w:val="center" w:pos="4154"/>
      </w:tabs>
      <w:spacing w:after="0" w:line="259" w:lineRule="auto"/>
      <w:ind w:firstLine="0"/>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F29" w:rsidRDefault="00876F29">
      <w:pPr>
        <w:spacing w:after="0" w:line="240" w:lineRule="auto"/>
      </w:pPr>
      <w:r>
        <w:separator/>
      </w:r>
    </w:p>
  </w:footnote>
  <w:footnote w:type="continuationSeparator" w:id="0">
    <w:p w:rsidR="00876F29" w:rsidRDefault="00876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4E2A"/>
    <w:multiLevelType w:val="hybridMultilevel"/>
    <w:tmpl w:val="D6843C98"/>
    <w:lvl w:ilvl="0" w:tplc="0B307FE4">
      <w:start w:val="1"/>
      <w:numFmt w:val="ideographDigital"/>
      <w:lvlText w:val="（%1）"/>
      <w:lvlJc w:val="left"/>
      <w:pPr>
        <w:ind w:left="1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B7C82D72">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C888A346">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5FEAFAFA">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D9BCC4E0">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45320ABE">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5596AD4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A8204F4C">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6CC4F9D6">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F553216"/>
    <w:multiLevelType w:val="hybridMultilevel"/>
    <w:tmpl w:val="7EB09BAA"/>
    <w:lvl w:ilvl="0" w:tplc="78608728">
      <w:start w:val="1"/>
      <w:numFmt w:val="ideographDigital"/>
      <w:lvlText w:val="（%1）"/>
      <w:lvlJc w:val="left"/>
      <w:pPr>
        <w:ind w:left="1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860E4F9A">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782FAD0">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87FEBA3A">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EB30108E">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92821A1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88CC806A">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CF5CA0DA">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7C7AE750">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E266EDA"/>
    <w:multiLevelType w:val="hybridMultilevel"/>
    <w:tmpl w:val="DD06B35E"/>
    <w:lvl w:ilvl="0" w:tplc="8CB0E4F0">
      <w:start w:val="1"/>
      <w:numFmt w:val="ideographDigital"/>
      <w:lvlText w:val="（%1）"/>
      <w:lvlJc w:val="left"/>
      <w:pPr>
        <w:ind w:left="1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752A6F24">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3754EACA">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D9BA3F96">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BA1099AA">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AF56F28C">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7682E65C">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D5CC948C">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2626E0A0">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0E143DF"/>
    <w:multiLevelType w:val="hybridMultilevel"/>
    <w:tmpl w:val="2F542074"/>
    <w:lvl w:ilvl="0" w:tplc="56BE1E58">
      <w:start w:val="1"/>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79B4896E">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BE4ABE76">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44C83538">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F592A97A">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2F60E2B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4336F332">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8BC0C6C4">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E11A25C0">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52665940"/>
    <w:multiLevelType w:val="hybridMultilevel"/>
    <w:tmpl w:val="75C21076"/>
    <w:lvl w:ilvl="0" w:tplc="F642D342">
      <w:start w:val="5"/>
      <w:numFmt w:val="ideographDigital"/>
      <w:lvlText w:val="（%1）"/>
      <w:lvlJc w:val="left"/>
      <w:pPr>
        <w:ind w:left="0"/>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112885B8">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47E6CBA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AA8E88D6">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ED568786">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99DE43E8">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6F545E7A">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01266E9A">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A692A216">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5EF2316E"/>
    <w:multiLevelType w:val="hybridMultilevel"/>
    <w:tmpl w:val="FD704084"/>
    <w:lvl w:ilvl="0" w:tplc="59D21EFC">
      <w:start w:val="1"/>
      <w:numFmt w:val="ideographDigital"/>
      <w:lvlText w:val="（%1）"/>
      <w:lvlJc w:val="left"/>
      <w:pPr>
        <w:ind w:left="17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1" w:tplc="1D629F4E">
      <w:start w:val="1"/>
      <w:numFmt w:val="lowerLetter"/>
      <w:lvlText w:val="%2"/>
      <w:lvlJc w:val="left"/>
      <w:pPr>
        <w:ind w:left="17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2" w:tplc="190435F2">
      <w:start w:val="1"/>
      <w:numFmt w:val="lowerRoman"/>
      <w:lvlText w:val="%3"/>
      <w:lvlJc w:val="left"/>
      <w:pPr>
        <w:ind w:left="24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3" w:tplc="EA542ED6">
      <w:start w:val="1"/>
      <w:numFmt w:val="decimal"/>
      <w:lvlText w:val="%4"/>
      <w:lvlJc w:val="left"/>
      <w:pPr>
        <w:ind w:left="31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4" w:tplc="4FFAC242">
      <w:start w:val="1"/>
      <w:numFmt w:val="lowerLetter"/>
      <w:lvlText w:val="%5"/>
      <w:lvlJc w:val="left"/>
      <w:pPr>
        <w:ind w:left="388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5" w:tplc="E1B45704">
      <w:start w:val="1"/>
      <w:numFmt w:val="lowerRoman"/>
      <w:lvlText w:val="%6"/>
      <w:lvlJc w:val="left"/>
      <w:pPr>
        <w:ind w:left="460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6" w:tplc="8F263862">
      <w:start w:val="1"/>
      <w:numFmt w:val="decimal"/>
      <w:lvlText w:val="%7"/>
      <w:lvlJc w:val="left"/>
      <w:pPr>
        <w:ind w:left="532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7" w:tplc="6012E9AE">
      <w:start w:val="1"/>
      <w:numFmt w:val="lowerLetter"/>
      <w:lvlText w:val="%8"/>
      <w:lvlJc w:val="left"/>
      <w:pPr>
        <w:ind w:left="604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lvl w:ilvl="8" w:tplc="5ECAD8FA">
      <w:start w:val="1"/>
      <w:numFmt w:val="lowerRoman"/>
      <w:lvlText w:val="%9"/>
      <w:lvlJc w:val="left"/>
      <w:pPr>
        <w:ind w:left="6761"/>
      </w:pPr>
      <w:rPr>
        <w:rFonts w:ascii="微软雅黑" w:eastAsia="微软雅黑" w:hAnsi="微软雅黑" w:cs="微软雅黑"/>
        <w:b w:val="0"/>
        <w:i w:val="0"/>
        <w:strike w:val="0"/>
        <w:dstrike w:val="0"/>
        <w:color w:val="000000"/>
        <w:sz w:val="32"/>
        <w:szCs w:val="32"/>
        <w:u w:val="none" w:color="000000"/>
        <w:bdr w:val="none" w:sz="0" w:space="0" w:color="auto"/>
        <w:shd w:val="clear" w:color="auto" w:fill="auto"/>
        <w:vertAlign w:val="baseline"/>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37"/>
    <w:rsid w:val="00592738"/>
    <w:rsid w:val="00876F29"/>
    <w:rsid w:val="00E9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8B6F8-2C2C-4436-837C-E25FE82B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397" w:lineRule="auto"/>
      <w:ind w:firstLine="633"/>
    </w:pPr>
    <w:rPr>
      <w:rFonts w:ascii="微软雅黑" w:eastAsia="微软雅黑" w:hAnsi="微软雅黑" w:cs="微软雅黑"/>
      <w:color w:val="000000"/>
      <w:sz w:val="32"/>
    </w:rPr>
  </w:style>
  <w:style w:type="paragraph" w:styleId="1">
    <w:name w:val="heading 1"/>
    <w:next w:val="a"/>
    <w:link w:val="1Char"/>
    <w:uiPriority w:val="9"/>
    <w:unhideWhenUsed/>
    <w:qFormat/>
    <w:pPr>
      <w:keepNext/>
      <w:keepLines/>
      <w:spacing w:after="234" w:line="259" w:lineRule="auto"/>
      <w:ind w:left="10" w:right="162" w:hanging="10"/>
      <w:jc w:val="center"/>
      <w:outlineLvl w:val="0"/>
    </w:pPr>
    <w:rPr>
      <w:rFonts w:ascii="微软雅黑" w:eastAsia="微软雅黑" w:hAnsi="微软雅黑" w:cs="微软雅黑"/>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32"/>
    </w:rPr>
  </w:style>
  <w:style w:type="paragraph" w:styleId="a3">
    <w:name w:val="header"/>
    <w:basedOn w:val="a"/>
    <w:link w:val="Char"/>
    <w:uiPriority w:val="99"/>
    <w:unhideWhenUsed/>
    <w:rsid w:val="0059273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592738"/>
    <w:rPr>
      <w:rFonts w:ascii="微软雅黑" w:eastAsia="微软雅黑" w:hAnsi="微软雅黑" w:cs="微软雅黑"/>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494</Words>
  <Characters>2820</Characters>
  <Application>Microsoft Office Word</Application>
  <DocSecurity>0</DocSecurity>
  <Lines>23</Lines>
  <Paragraphs>6</Paragraphs>
  <ScaleCrop>false</ScaleCrop>
  <Company>Microsoft</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政府会计准则第××号——固定资产</dc:title>
  <dc:subject/>
  <dc:creator>王小荣</dc:creator>
  <cp:keywords/>
  <cp:lastModifiedBy>CY1002</cp:lastModifiedBy>
  <cp:revision>2</cp:revision>
  <dcterms:created xsi:type="dcterms:W3CDTF">2018-12-03T07:38:00Z</dcterms:created>
  <dcterms:modified xsi:type="dcterms:W3CDTF">2018-12-03T07:38:00Z</dcterms:modified>
</cp:coreProperties>
</file>