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857" w:rsidRDefault="000662AE">
      <w:pPr>
        <w:spacing w:after="254" w:line="259" w:lineRule="auto"/>
        <w:ind w:left="-15" w:firstLine="0"/>
      </w:pPr>
      <w:bookmarkStart w:id="0" w:name="_GoBack"/>
      <w:bookmarkEnd w:id="0"/>
      <w:r>
        <w:t>附件</w:t>
      </w:r>
      <w:r>
        <w:t xml:space="preserve"> </w:t>
      </w:r>
      <w:r>
        <w:rPr>
          <w:rFonts w:ascii="Times New Roman" w:eastAsia="Times New Roman" w:hAnsi="Times New Roman" w:cs="Times New Roman"/>
        </w:rPr>
        <w:t>2</w:t>
      </w:r>
      <w:r>
        <w:t>：</w:t>
      </w:r>
      <w:r>
        <w:rPr>
          <w:rFonts w:ascii="Times New Roman" w:eastAsia="Times New Roman" w:hAnsi="Times New Roman" w:cs="Times New Roman"/>
        </w:rPr>
        <w:t xml:space="preserve"> </w:t>
      </w:r>
    </w:p>
    <w:p w:rsidR="00614857" w:rsidRDefault="000662AE">
      <w:pPr>
        <w:spacing w:after="145" w:line="259" w:lineRule="auto"/>
        <w:ind w:right="164" w:firstLine="0"/>
        <w:jc w:val="center"/>
      </w:pPr>
      <w:r>
        <w:rPr>
          <w:sz w:val="36"/>
        </w:rPr>
        <w:t>政府会计准则第</w:t>
      </w:r>
      <w:r>
        <w:rPr>
          <w:sz w:val="36"/>
        </w:rPr>
        <w:t xml:space="preserve"> </w:t>
      </w:r>
      <w:r>
        <w:rPr>
          <w:rFonts w:ascii="Times New Roman" w:eastAsia="Times New Roman" w:hAnsi="Times New Roman" w:cs="Times New Roman"/>
          <w:b/>
          <w:sz w:val="36"/>
        </w:rPr>
        <w:t xml:space="preserve">2 </w:t>
      </w:r>
      <w:r>
        <w:rPr>
          <w:sz w:val="36"/>
        </w:rPr>
        <w:t>号</w:t>
      </w:r>
      <w:r>
        <w:rPr>
          <w:rFonts w:ascii="Times New Roman" w:eastAsia="Times New Roman" w:hAnsi="Times New Roman" w:cs="Times New Roman"/>
          <w:b/>
          <w:sz w:val="36"/>
        </w:rPr>
        <w:t>——</w:t>
      </w:r>
      <w:r>
        <w:rPr>
          <w:sz w:val="36"/>
        </w:rPr>
        <w:t>投资</w:t>
      </w:r>
      <w:r>
        <w:rPr>
          <w:rFonts w:ascii="Times New Roman" w:eastAsia="Times New Roman" w:hAnsi="Times New Roman" w:cs="Times New Roman"/>
          <w:b/>
          <w:sz w:val="36"/>
        </w:rPr>
        <w:t xml:space="preserve"> </w:t>
      </w:r>
    </w:p>
    <w:p w:rsidR="00614857" w:rsidRDefault="000662AE">
      <w:pPr>
        <w:spacing w:after="235" w:line="259" w:lineRule="auto"/>
        <w:ind w:right="84" w:firstLine="0"/>
        <w:jc w:val="center"/>
      </w:pPr>
      <w:r>
        <w:rPr>
          <w:rFonts w:ascii="Times New Roman" w:eastAsia="Times New Roman" w:hAnsi="Times New Roman" w:cs="Times New Roman"/>
        </w:rPr>
        <w:t xml:space="preserve"> </w:t>
      </w:r>
    </w:p>
    <w:p w:rsidR="00614857" w:rsidRDefault="000662AE">
      <w:pPr>
        <w:tabs>
          <w:tab w:val="center" w:pos="4153"/>
          <w:tab w:val="center" w:pos="6577"/>
        </w:tabs>
        <w:spacing w:after="241" w:line="259" w:lineRule="auto"/>
        <w:ind w:firstLine="0"/>
      </w:pPr>
      <w:r>
        <w:rPr>
          <w:rFonts w:ascii="Times New Roman" w:eastAsia="Times New Roman" w:hAnsi="Times New Roman" w:cs="Times New Roman"/>
        </w:rPr>
        <w:t xml:space="preserve"> </w:t>
      </w:r>
      <w:r>
        <w:rPr>
          <w:rFonts w:ascii="Times New Roman" w:eastAsia="Times New Roman" w:hAnsi="Times New Roman" w:cs="Times New Roman"/>
        </w:rPr>
        <w:tab/>
      </w:r>
      <w:r>
        <w:t>第一章</w:t>
      </w:r>
      <w:r>
        <w:rPr>
          <w:rFonts w:ascii="Times New Roman" w:eastAsia="Times New Roman" w:hAnsi="Times New Roman" w:cs="Times New Roman"/>
        </w:rPr>
        <w:t xml:space="preserve"> </w:t>
      </w:r>
      <w:r>
        <w:t>总</w:t>
      </w:r>
      <w:r>
        <w:rPr>
          <w:rFonts w:ascii="Times New Roman" w:eastAsia="Times New Roman" w:hAnsi="Times New Roman" w:cs="Times New Roman"/>
        </w:rPr>
        <w:t xml:space="preserve"> </w:t>
      </w:r>
      <w:r>
        <w:t>则</w: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614857" w:rsidRDefault="000662AE">
      <w:pPr>
        <w:ind w:left="-15"/>
      </w:pPr>
      <w:r>
        <w:t>第一条</w:t>
      </w:r>
      <w:r>
        <w:rPr>
          <w:rFonts w:ascii="Times New Roman" w:eastAsia="Times New Roman" w:hAnsi="Times New Roman" w:cs="Times New Roman"/>
        </w:rPr>
        <w:t xml:space="preserve"> </w:t>
      </w:r>
      <w:r>
        <w:t>为了规范投资的确认、计量和相关信息的披露，根据《政府会计准则</w:t>
      </w:r>
      <w:r>
        <w:rPr>
          <w:rFonts w:ascii="Times New Roman" w:eastAsia="Times New Roman" w:hAnsi="Times New Roman" w:cs="Times New Roman"/>
        </w:rPr>
        <w:t>——</w:t>
      </w:r>
      <w:r>
        <w:t>基本准则》，制定本准则。</w:t>
      </w:r>
      <w:r>
        <w:rPr>
          <w:rFonts w:ascii="Times New Roman" w:eastAsia="Times New Roman" w:hAnsi="Times New Roman" w:cs="Times New Roman"/>
        </w:rPr>
        <w:t xml:space="preserve"> </w:t>
      </w:r>
    </w:p>
    <w:p w:rsidR="00614857" w:rsidRDefault="000662AE">
      <w:pPr>
        <w:ind w:left="-15"/>
      </w:pPr>
      <w:r>
        <w:t>第二条</w:t>
      </w:r>
      <w:r>
        <w:rPr>
          <w:rFonts w:ascii="Times New Roman" w:eastAsia="Times New Roman" w:hAnsi="Times New Roman" w:cs="Times New Roman"/>
        </w:rPr>
        <w:t xml:space="preserve"> </w:t>
      </w:r>
      <w:r>
        <w:t>本准则所称投资，是指政府会计主体按规定以货币资金、实物资产、无形资产等方式形成的债权或股权投资。</w:t>
      </w:r>
      <w:r>
        <w:rPr>
          <w:rFonts w:ascii="Times New Roman" w:eastAsia="Times New Roman" w:hAnsi="Times New Roman" w:cs="Times New Roman"/>
        </w:rPr>
        <w:t xml:space="preserve"> </w:t>
      </w:r>
    </w:p>
    <w:p w:rsidR="00614857" w:rsidRDefault="000662AE">
      <w:pPr>
        <w:spacing w:after="236" w:line="259" w:lineRule="auto"/>
        <w:ind w:left="643" w:firstLine="0"/>
      </w:pPr>
      <w:r>
        <w:t>第三条</w:t>
      </w:r>
      <w:r>
        <w:rPr>
          <w:rFonts w:ascii="Times New Roman" w:eastAsia="Times New Roman" w:hAnsi="Times New Roman" w:cs="Times New Roman"/>
        </w:rPr>
        <w:t xml:space="preserve"> </w:t>
      </w:r>
      <w:r>
        <w:t>投资分为短期投资和长期投资。</w:t>
      </w:r>
      <w:r>
        <w:rPr>
          <w:rFonts w:ascii="Times New Roman" w:eastAsia="Times New Roman" w:hAnsi="Times New Roman" w:cs="Times New Roman"/>
        </w:rPr>
        <w:t xml:space="preserve"> </w:t>
      </w:r>
    </w:p>
    <w:p w:rsidR="00614857" w:rsidRDefault="000662AE">
      <w:pPr>
        <w:ind w:left="-15"/>
      </w:pPr>
      <w:r>
        <w:t>短期投资，是指政府会计主体取得的持有时间不超过</w:t>
      </w:r>
      <w:r>
        <w:t xml:space="preserve"> </w:t>
      </w:r>
      <w:r>
        <w:rPr>
          <w:rFonts w:ascii="Times New Roman" w:eastAsia="Times New Roman" w:hAnsi="Times New Roman" w:cs="Times New Roman"/>
        </w:rPr>
        <w:t xml:space="preserve">1 </w:t>
      </w:r>
      <w:r>
        <w:t>年（含</w:t>
      </w:r>
      <w:r>
        <w:t xml:space="preserve"> </w:t>
      </w:r>
      <w:r>
        <w:rPr>
          <w:rFonts w:ascii="Times New Roman" w:eastAsia="Times New Roman" w:hAnsi="Times New Roman" w:cs="Times New Roman"/>
        </w:rPr>
        <w:t xml:space="preserve">1 </w:t>
      </w:r>
      <w:r>
        <w:t>年）的投资。</w:t>
      </w:r>
      <w:r>
        <w:rPr>
          <w:rFonts w:ascii="Times New Roman" w:eastAsia="Times New Roman" w:hAnsi="Times New Roman" w:cs="Times New Roman"/>
        </w:rPr>
        <w:t xml:space="preserve"> </w:t>
      </w:r>
    </w:p>
    <w:p w:rsidR="00614857" w:rsidRDefault="000662AE">
      <w:pPr>
        <w:spacing w:after="213" w:line="259" w:lineRule="auto"/>
        <w:ind w:left="10" w:right="153" w:hanging="10"/>
        <w:jc w:val="right"/>
      </w:pPr>
      <w:r>
        <w:t>长期投资，是指政府会计主体取得的除短期投资以外的</w:t>
      </w:r>
    </w:p>
    <w:p w:rsidR="00614857" w:rsidRDefault="000662AE">
      <w:pPr>
        <w:spacing w:after="236" w:line="259" w:lineRule="auto"/>
        <w:ind w:left="-15" w:firstLine="0"/>
      </w:pPr>
      <w:r>
        <w:t>债权和股权性质的投资。</w:t>
      </w:r>
      <w:r>
        <w:rPr>
          <w:rFonts w:ascii="Times New Roman" w:eastAsia="Times New Roman" w:hAnsi="Times New Roman" w:cs="Times New Roman"/>
        </w:rPr>
        <w:t xml:space="preserve"> </w:t>
      </w:r>
    </w:p>
    <w:p w:rsidR="00614857" w:rsidRDefault="000662AE">
      <w:pPr>
        <w:ind w:left="-15" w:firstLine="0"/>
      </w:pPr>
      <w:r>
        <w:lastRenderedPageBreak/>
        <w:t xml:space="preserve"> </w:t>
      </w:r>
      <w:r>
        <w:rPr>
          <w:rFonts w:ascii="Times New Roman" w:eastAsia="Times New Roman" w:hAnsi="Times New Roman" w:cs="Times New Roman"/>
        </w:rPr>
        <w:t xml:space="preserve">  </w:t>
      </w:r>
      <w:r>
        <w:t>第四条</w:t>
      </w:r>
      <w:r>
        <w:rPr>
          <w:rFonts w:ascii="Times New Roman" w:eastAsia="Times New Roman" w:hAnsi="Times New Roman" w:cs="Times New Roman"/>
        </w:rPr>
        <w:t xml:space="preserve"> </w:t>
      </w:r>
      <w:r>
        <w:t>政府会计主体外币投资的折算，适用其他相关政府会计准则。</w:t>
      </w:r>
      <w:r>
        <w:rPr>
          <w:rFonts w:ascii="Times New Roman" w:eastAsia="Times New Roman" w:hAnsi="Times New Roman" w:cs="Times New Roman"/>
        </w:rPr>
        <w:t xml:space="preserve"> </w:t>
      </w:r>
    </w:p>
    <w:p w:rsidR="00614857" w:rsidRDefault="000662AE">
      <w:pPr>
        <w:spacing w:after="229" w:line="259" w:lineRule="auto"/>
        <w:ind w:right="84" w:firstLine="0"/>
        <w:jc w:val="center"/>
      </w:pPr>
      <w:r>
        <w:rPr>
          <w:rFonts w:ascii="Times New Roman" w:eastAsia="Times New Roman" w:hAnsi="Times New Roman" w:cs="Times New Roman"/>
          <w:b/>
        </w:rPr>
        <w:t xml:space="preserve"> </w:t>
      </w:r>
    </w:p>
    <w:p w:rsidR="00614857" w:rsidRDefault="000662AE">
      <w:pPr>
        <w:pStyle w:val="1"/>
        <w:ind w:right="164"/>
      </w:pPr>
      <w:r>
        <w:t>第二章</w:t>
      </w:r>
      <w:r>
        <w:rPr>
          <w:rFonts w:ascii="Times New Roman" w:eastAsia="Times New Roman" w:hAnsi="Times New Roman" w:cs="Times New Roman"/>
        </w:rPr>
        <w:t xml:space="preserve"> </w:t>
      </w:r>
      <w:r>
        <w:t>短期投资</w:t>
      </w:r>
      <w:r>
        <w:rPr>
          <w:rFonts w:ascii="Times New Roman" w:eastAsia="Times New Roman" w:hAnsi="Times New Roman" w:cs="Times New Roman"/>
        </w:rPr>
        <w:t xml:space="preserve"> </w:t>
      </w:r>
    </w:p>
    <w:p w:rsidR="00614857" w:rsidRDefault="000662AE">
      <w:pPr>
        <w:ind w:left="-15"/>
      </w:pPr>
      <w:r>
        <w:t>第五条</w:t>
      </w:r>
      <w:r>
        <w:rPr>
          <w:rFonts w:ascii="Times New Roman" w:eastAsia="Times New Roman" w:hAnsi="Times New Roman" w:cs="Times New Roman"/>
        </w:rPr>
        <w:t xml:space="preserve"> </w:t>
      </w:r>
      <w:r>
        <w:t>短期投资在取得时，应当按照实际成本（包括购买价款和相关税费，下同）作为初始投资成本。</w:t>
      </w:r>
      <w:r>
        <w:rPr>
          <w:rFonts w:ascii="Times New Roman" w:eastAsia="Times New Roman" w:hAnsi="Times New Roman" w:cs="Times New Roman"/>
        </w:rPr>
        <w:t xml:space="preserve"> </w:t>
      </w:r>
    </w:p>
    <w:p w:rsidR="00614857" w:rsidRDefault="000662AE">
      <w:pPr>
        <w:spacing w:after="213" w:line="259" w:lineRule="auto"/>
        <w:ind w:left="10" w:right="153" w:hanging="10"/>
        <w:jc w:val="right"/>
      </w:pPr>
      <w:r>
        <w:t>实际支付价款中包含的已到付息期但尚未领取的利息，</w:t>
      </w:r>
    </w:p>
    <w:p w:rsidR="00614857" w:rsidRDefault="000662AE">
      <w:pPr>
        <w:spacing w:line="259" w:lineRule="auto"/>
        <w:ind w:left="-15" w:firstLine="0"/>
      </w:pPr>
      <w:r>
        <w:t>应当于收到时冲减短期投资成本。</w:t>
      </w:r>
      <w:r>
        <w:rPr>
          <w:rFonts w:ascii="Times New Roman" w:eastAsia="Times New Roman" w:hAnsi="Times New Roman" w:cs="Times New Roman"/>
        </w:rPr>
        <w:t xml:space="preserve"> </w:t>
      </w:r>
    </w:p>
    <w:p w:rsidR="00614857" w:rsidRDefault="000662AE">
      <w:pPr>
        <w:ind w:left="-15"/>
      </w:pPr>
      <w:r>
        <w:t>第六条</w:t>
      </w:r>
      <w:r>
        <w:rPr>
          <w:rFonts w:ascii="Times New Roman" w:eastAsia="Times New Roman" w:hAnsi="Times New Roman" w:cs="Times New Roman"/>
        </w:rPr>
        <w:t xml:space="preserve"> </w:t>
      </w:r>
      <w:r>
        <w:t>短期投资持有期间的利息，应当于实际收到时确认为投资收益。</w:t>
      </w:r>
      <w:r>
        <w:rPr>
          <w:rFonts w:ascii="Times New Roman" w:eastAsia="Times New Roman" w:hAnsi="Times New Roman" w:cs="Times New Roman"/>
        </w:rPr>
        <w:t xml:space="preserve"> </w:t>
      </w:r>
    </w:p>
    <w:p w:rsidR="00614857" w:rsidRDefault="000662AE">
      <w:pPr>
        <w:spacing w:after="236" w:line="259" w:lineRule="auto"/>
        <w:ind w:left="327" w:right="615" w:hanging="10"/>
        <w:jc w:val="center"/>
      </w:pPr>
      <w:r>
        <w:t>第七条</w:t>
      </w:r>
      <w:r>
        <w:rPr>
          <w:rFonts w:ascii="Times New Roman" w:eastAsia="Times New Roman" w:hAnsi="Times New Roman" w:cs="Times New Roman"/>
        </w:rPr>
        <w:t xml:space="preserve"> </w:t>
      </w:r>
      <w:r>
        <w:t>期末，短期投资应当按照账面余额计量。</w:t>
      </w:r>
      <w:r>
        <w:rPr>
          <w:rFonts w:ascii="Times New Roman" w:eastAsia="Times New Roman" w:hAnsi="Times New Roman" w:cs="Times New Roman"/>
        </w:rPr>
        <w:t xml:space="preserve"> </w:t>
      </w:r>
    </w:p>
    <w:p w:rsidR="00614857" w:rsidRDefault="000662AE">
      <w:pPr>
        <w:ind w:left="-15"/>
      </w:pPr>
      <w:r>
        <w:t>第八条</w:t>
      </w:r>
      <w:r>
        <w:rPr>
          <w:rFonts w:ascii="Times New Roman" w:eastAsia="Times New Roman" w:hAnsi="Times New Roman" w:cs="Times New Roman"/>
        </w:rPr>
        <w:t xml:space="preserve"> </w:t>
      </w:r>
      <w:r>
        <w:t>政府会计主体按规定出售或到期收回短期投资，应当将收到的价款扣除短期投资账面余额和相关税费后的差额计入投资损益。</w:t>
      </w:r>
      <w:r>
        <w:rPr>
          <w:rFonts w:ascii="Times New Roman" w:eastAsia="Times New Roman" w:hAnsi="Times New Roman" w:cs="Times New Roman"/>
        </w:rPr>
        <w:t xml:space="preserve"> </w:t>
      </w:r>
    </w:p>
    <w:p w:rsidR="00614857" w:rsidRDefault="000662AE">
      <w:pPr>
        <w:spacing w:after="229" w:line="259" w:lineRule="auto"/>
        <w:ind w:right="84" w:firstLine="0"/>
        <w:jc w:val="center"/>
      </w:pPr>
      <w:r>
        <w:rPr>
          <w:rFonts w:ascii="Times New Roman" w:eastAsia="Times New Roman" w:hAnsi="Times New Roman" w:cs="Times New Roman"/>
          <w:b/>
        </w:rPr>
        <w:t xml:space="preserve"> </w:t>
      </w:r>
    </w:p>
    <w:p w:rsidR="00614857" w:rsidRDefault="000662AE">
      <w:pPr>
        <w:spacing w:after="233" w:line="259" w:lineRule="auto"/>
        <w:ind w:left="10" w:right="164" w:hanging="10"/>
        <w:jc w:val="center"/>
      </w:pPr>
      <w:r>
        <w:lastRenderedPageBreak/>
        <w:t>第三章</w:t>
      </w:r>
      <w:r>
        <w:rPr>
          <w:rFonts w:ascii="Times New Roman" w:eastAsia="Times New Roman" w:hAnsi="Times New Roman" w:cs="Times New Roman"/>
        </w:rPr>
        <w:t xml:space="preserve">  </w:t>
      </w:r>
      <w:r>
        <w:t>长期投资</w:t>
      </w:r>
      <w:r>
        <w:rPr>
          <w:rFonts w:ascii="Times New Roman" w:eastAsia="Times New Roman" w:hAnsi="Times New Roman" w:cs="Times New Roman"/>
        </w:rPr>
        <w:t xml:space="preserve"> </w:t>
      </w:r>
    </w:p>
    <w:p w:rsidR="00614857" w:rsidRDefault="000662AE">
      <w:pPr>
        <w:spacing w:after="213" w:line="259" w:lineRule="auto"/>
        <w:ind w:left="10" w:right="296" w:hanging="10"/>
        <w:jc w:val="right"/>
      </w:pPr>
      <w:r>
        <w:t>第九条</w:t>
      </w:r>
      <w:r>
        <w:rPr>
          <w:rFonts w:ascii="Times New Roman" w:eastAsia="Times New Roman" w:hAnsi="Times New Roman" w:cs="Times New Roman"/>
        </w:rPr>
        <w:t xml:space="preserve"> </w:t>
      </w:r>
      <w:r>
        <w:t>长期投资分为长期债权投资和长期股权投资。</w:t>
      </w:r>
      <w:r>
        <w:rPr>
          <w:rFonts w:ascii="Times New Roman" w:eastAsia="Times New Roman" w:hAnsi="Times New Roman" w:cs="Times New Roman"/>
        </w:rPr>
        <w:t xml:space="preserve"> </w:t>
      </w:r>
    </w:p>
    <w:p w:rsidR="00614857" w:rsidRDefault="000662AE">
      <w:pPr>
        <w:spacing w:after="229" w:line="259" w:lineRule="auto"/>
        <w:ind w:left="396" w:firstLine="0"/>
        <w:jc w:val="center"/>
      </w:pPr>
      <w:r>
        <w:rPr>
          <w:rFonts w:ascii="Times New Roman" w:eastAsia="Times New Roman" w:hAnsi="Times New Roman" w:cs="Times New Roman"/>
          <w:b/>
        </w:rPr>
        <w:t xml:space="preserve"> </w:t>
      </w:r>
    </w:p>
    <w:p w:rsidR="00614857" w:rsidRDefault="000662AE">
      <w:pPr>
        <w:pStyle w:val="1"/>
        <w:spacing w:after="236"/>
        <w:ind w:left="327"/>
      </w:pPr>
      <w:r>
        <w:t>第一节</w:t>
      </w:r>
      <w:r>
        <w:rPr>
          <w:rFonts w:ascii="Times New Roman" w:eastAsia="Times New Roman" w:hAnsi="Times New Roman" w:cs="Times New Roman"/>
          <w:b/>
        </w:rPr>
        <w:t xml:space="preserve">  </w:t>
      </w:r>
      <w:r>
        <w:t>长期债权投资</w:t>
      </w:r>
      <w:r>
        <w:rPr>
          <w:rFonts w:ascii="Times New Roman" w:eastAsia="Times New Roman" w:hAnsi="Times New Roman" w:cs="Times New Roman"/>
        </w:rPr>
        <w:t xml:space="preserve"> </w:t>
      </w:r>
    </w:p>
    <w:p w:rsidR="00614857" w:rsidRDefault="000662AE">
      <w:pPr>
        <w:ind w:left="-15"/>
      </w:pPr>
      <w:r>
        <w:t>第十条</w:t>
      </w:r>
      <w:r>
        <w:rPr>
          <w:rFonts w:ascii="Times New Roman" w:eastAsia="Times New Roman" w:hAnsi="Times New Roman" w:cs="Times New Roman"/>
        </w:rPr>
        <w:t xml:space="preserve"> </w:t>
      </w:r>
      <w:r>
        <w:t>长期债券投资在取得时，应当按照实际成本作为初始投资成本。</w:t>
      </w:r>
      <w:r>
        <w:rPr>
          <w:rFonts w:ascii="Times New Roman" w:eastAsia="Times New Roman" w:hAnsi="Times New Roman" w:cs="Times New Roman"/>
        </w:rPr>
        <w:t xml:space="preserve"> </w:t>
      </w:r>
    </w:p>
    <w:p w:rsidR="00614857" w:rsidRDefault="000662AE">
      <w:pPr>
        <w:ind w:left="-15"/>
      </w:pPr>
      <w:r>
        <w:t>实际支付价款中包含的已到付息期但尚未领取的债券利息，应当单独确认为应收利息，不计入长期债券投资初始投资成本。</w:t>
      </w:r>
      <w:r>
        <w:rPr>
          <w:rFonts w:ascii="Times New Roman" w:eastAsia="Times New Roman" w:hAnsi="Times New Roman" w:cs="Times New Roman"/>
        </w:rPr>
        <w:t xml:space="preserve"> </w:t>
      </w:r>
    </w:p>
    <w:p w:rsidR="00614857" w:rsidRDefault="000662AE">
      <w:pPr>
        <w:ind w:left="-15"/>
      </w:pPr>
      <w:r>
        <w:t>第十一条</w:t>
      </w:r>
      <w:r>
        <w:rPr>
          <w:rFonts w:ascii="Times New Roman" w:eastAsia="Times New Roman" w:hAnsi="Times New Roman" w:cs="Times New Roman"/>
        </w:rPr>
        <w:t xml:space="preserve"> </w:t>
      </w:r>
      <w:r>
        <w:t>长期债券投资持有期间，应当按期以票面金额与票面利率计算确认利息收入。</w:t>
      </w:r>
      <w:r>
        <w:rPr>
          <w:rFonts w:ascii="Times New Roman" w:eastAsia="Times New Roman" w:hAnsi="Times New Roman" w:cs="Times New Roman"/>
        </w:rPr>
        <w:t xml:space="preserve"> </w:t>
      </w:r>
    </w:p>
    <w:p w:rsidR="00614857" w:rsidRDefault="000662AE">
      <w:pPr>
        <w:ind w:left="-15"/>
      </w:pPr>
      <w:r>
        <w:t>对于分期付息、一次还本的长期债券投资，应当将计算确定的应收未收利息确认为应收利息，计入投资收益；对于一次还本付息的长期债券投资，应当将计算确定的应收未收利息计入投资收益，并增加长期债券投资的账面余额。</w:t>
      </w:r>
      <w:r>
        <w:rPr>
          <w:rFonts w:ascii="Times New Roman" w:eastAsia="Times New Roman" w:hAnsi="Times New Roman" w:cs="Times New Roman"/>
        </w:rPr>
        <w:t xml:space="preserve">  </w:t>
      </w:r>
      <w:r>
        <w:t>第十</w:t>
      </w:r>
      <w:r>
        <w:lastRenderedPageBreak/>
        <w:t>二条</w:t>
      </w:r>
      <w:r>
        <w:rPr>
          <w:rFonts w:ascii="Times New Roman" w:eastAsia="Times New Roman" w:hAnsi="Times New Roman" w:cs="Times New Roman"/>
        </w:rPr>
        <w:t xml:space="preserve"> </w:t>
      </w:r>
      <w:r>
        <w:t>政府会计主体按规定出售或到期收回长期债券投资，应当将实际收到的价款扣除长期债券投资账面余额和相关税费后的差额计入投资损益。</w:t>
      </w:r>
      <w:r>
        <w:rPr>
          <w:rFonts w:ascii="Times New Roman" w:eastAsia="Times New Roman" w:hAnsi="Times New Roman" w:cs="Times New Roman"/>
        </w:rPr>
        <w:t xml:space="preserve"> </w:t>
      </w:r>
    </w:p>
    <w:p w:rsidR="00614857" w:rsidRDefault="000662AE">
      <w:pPr>
        <w:ind w:left="-15"/>
      </w:pPr>
      <w:r>
        <w:t>第十三条</w:t>
      </w:r>
      <w:r>
        <w:rPr>
          <w:rFonts w:ascii="Times New Roman" w:eastAsia="Times New Roman" w:hAnsi="Times New Roman" w:cs="Times New Roman"/>
        </w:rPr>
        <w:t xml:space="preserve"> </w:t>
      </w:r>
      <w:r>
        <w:t>政府会计主体进行除债券以外的其他债权投资，参照长期债券投资进行会计处理。</w:t>
      </w:r>
      <w:r>
        <w:rPr>
          <w:rFonts w:ascii="Times New Roman" w:eastAsia="Times New Roman" w:hAnsi="Times New Roman" w:cs="Times New Roman"/>
        </w:rPr>
        <w:t xml:space="preserve"> </w:t>
      </w:r>
    </w:p>
    <w:p w:rsidR="00614857" w:rsidRDefault="000662AE">
      <w:pPr>
        <w:spacing w:after="236" w:line="259" w:lineRule="auto"/>
        <w:ind w:left="641" w:firstLine="0"/>
      </w:pPr>
      <w:r>
        <w:rPr>
          <w:rFonts w:ascii="Times New Roman" w:eastAsia="Times New Roman" w:hAnsi="Times New Roman" w:cs="Times New Roman"/>
        </w:rPr>
        <w:t xml:space="preserve"> </w:t>
      </w:r>
    </w:p>
    <w:p w:rsidR="00614857" w:rsidRDefault="000662AE">
      <w:pPr>
        <w:pStyle w:val="1"/>
        <w:spacing w:after="236"/>
        <w:ind w:left="327" w:right="480"/>
      </w:pPr>
      <w:r>
        <w:t>第二节</w:t>
      </w:r>
      <w:r>
        <w:rPr>
          <w:rFonts w:ascii="Times New Roman" w:eastAsia="Times New Roman" w:hAnsi="Times New Roman" w:cs="Times New Roman"/>
          <w:b/>
        </w:rPr>
        <w:t xml:space="preserve">  </w:t>
      </w:r>
      <w:r>
        <w:t>长期股权投资</w:t>
      </w:r>
      <w:r>
        <w:rPr>
          <w:rFonts w:ascii="Times New Roman" w:eastAsia="Times New Roman" w:hAnsi="Times New Roman" w:cs="Times New Roman"/>
          <w:b/>
        </w:rPr>
        <w:t xml:space="preserve"> </w:t>
      </w:r>
    </w:p>
    <w:p w:rsidR="00614857" w:rsidRDefault="000662AE">
      <w:pPr>
        <w:ind w:left="-15"/>
      </w:pPr>
      <w:r>
        <w:t>第十四条</w:t>
      </w:r>
      <w:r>
        <w:rPr>
          <w:rFonts w:ascii="Times New Roman" w:eastAsia="Times New Roman" w:hAnsi="Times New Roman" w:cs="Times New Roman"/>
        </w:rPr>
        <w:t xml:space="preserve"> </w:t>
      </w:r>
      <w:r>
        <w:t>长期股权投资在取得时，应当按照实际成本作为初始</w:t>
      </w:r>
      <w:r>
        <w:t>投资成本。</w:t>
      </w:r>
      <w:r>
        <w:rPr>
          <w:rFonts w:ascii="Times New Roman" w:eastAsia="Times New Roman" w:hAnsi="Times New Roman" w:cs="Times New Roman"/>
        </w:rPr>
        <w:t xml:space="preserve"> </w:t>
      </w:r>
    </w:p>
    <w:p w:rsidR="00614857" w:rsidRDefault="000662AE">
      <w:pPr>
        <w:numPr>
          <w:ilvl w:val="0"/>
          <w:numId w:val="1"/>
        </w:numPr>
      </w:pPr>
      <w:r>
        <w:t>以支付现金取得的长期股权投资，按照实际支付的全部价款（包括购买价款和相关税费）作为实际成本。</w:t>
      </w:r>
      <w:r>
        <w:rPr>
          <w:rFonts w:ascii="Times New Roman" w:eastAsia="Times New Roman" w:hAnsi="Times New Roman" w:cs="Times New Roman"/>
        </w:rPr>
        <w:t xml:space="preserve"> </w:t>
      </w:r>
    </w:p>
    <w:p w:rsidR="00614857" w:rsidRDefault="000662AE">
      <w:pPr>
        <w:ind w:left="-15"/>
      </w:pPr>
      <w:r>
        <w:t>实际支付价款中包含的已宣告但尚未发放的现金股利，应当单独确认为应收股利，不计入长期股权投资初始投资成本。</w:t>
      </w:r>
      <w:r>
        <w:rPr>
          <w:rFonts w:ascii="Times New Roman" w:eastAsia="Times New Roman" w:hAnsi="Times New Roman" w:cs="Times New Roman"/>
        </w:rPr>
        <w:t xml:space="preserve"> </w:t>
      </w:r>
    </w:p>
    <w:p w:rsidR="00614857" w:rsidRDefault="000662AE">
      <w:pPr>
        <w:numPr>
          <w:ilvl w:val="0"/>
          <w:numId w:val="1"/>
        </w:numPr>
      </w:pPr>
      <w:r>
        <w:lastRenderedPageBreak/>
        <w:t>以现金以外的其他资产置换取得的长期股权投资，其成本按照换出资产的评估价值加上支付的补价或减去收到的补价，加上换入长期股权投资发生的其他相关支出确定。</w:t>
      </w:r>
      <w:r>
        <w:rPr>
          <w:rFonts w:ascii="Times New Roman" w:eastAsia="Times New Roman" w:hAnsi="Times New Roman" w:cs="Times New Roman"/>
        </w:rPr>
        <w:t xml:space="preserve"> </w:t>
      </w:r>
    </w:p>
    <w:p w:rsidR="00614857" w:rsidRDefault="000662AE">
      <w:pPr>
        <w:numPr>
          <w:ilvl w:val="0"/>
          <w:numId w:val="1"/>
        </w:numPr>
        <w:spacing w:after="211"/>
      </w:pPr>
      <w:r>
        <w:t>接受捐赠的长期股权投资，其成本按照有关凭据注明的金额加上相关税费确定；没有相关凭据可供取得，但按规定经过资产评估的，其成本按照评估价值加上相关</w:t>
      </w:r>
      <w:r>
        <w:t>税费确定；没有相关凭据可供取得、也未经资产评估的，其成本比照同类或类似资产的市场价格加上相关税费确定。</w:t>
      </w:r>
      <w:r>
        <w:rPr>
          <w:rFonts w:ascii="Times New Roman" w:eastAsia="Times New Roman" w:hAnsi="Times New Roman" w:cs="Times New Roman"/>
        </w:rPr>
        <w:t xml:space="preserve"> </w:t>
      </w:r>
    </w:p>
    <w:p w:rsidR="00614857" w:rsidRDefault="000662AE">
      <w:pPr>
        <w:numPr>
          <w:ilvl w:val="0"/>
          <w:numId w:val="1"/>
        </w:numPr>
      </w:pPr>
      <w:r>
        <w:t>无偿调入的长期股权投资，其成本按照调出方账面价值加上相关税费确定。</w:t>
      </w:r>
      <w:r>
        <w:rPr>
          <w:rFonts w:ascii="Times New Roman" w:eastAsia="Times New Roman" w:hAnsi="Times New Roman" w:cs="Times New Roman"/>
        </w:rPr>
        <w:t xml:space="preserve"> </w:t>
      </w:r>
    </w:p>
    <w:p w:rsidR="00614857" w:rsidRDefault="000662AE">
      <w:pPr>
        <w:ind w:left="-15"/>
      </w:pPr>
      <w:r>
        <w:t>第十五条</w:t>
      </w:r>
      <w:r>
        <w:rPr>
          <w:rFonts w:ascii="Times New Roman" w:eastAsia="Times New Roman" w:hAnsi="Times New Roman" w:cs="Times New Roman"/>
        </w:rPr>
        <w:t xml:space="preserve"> </w:t>
      </w:r>
      <w:r>
        <w:t>长期股权投资在持有期间，通常应当采用权益法进行核算。政府会计主体无权决定被投资单位的财务和经</w:t>
      </w:r>
      <w:r>
        <w:lastRenderedPageBreak/>
        <w:t>营政策或无权参与被投资单位的财务和经营政策决策的，应当采用成本法进行核算。</w:t>
      </w:r>
      <w:r>
        <w:rPr>
          <w:rFonts w:ascii="Times New Roman" w:eastAsia="Times New Roman" w:hAnsi="Times New Roman" w:cs="Times New Roman"/>
        </w:rPr>
        <w:t xml:space="preserve"> </w:t>
      </w:r>
    </w:p>
    <w:p w:rsidR="00614857" w:rsidRDefault="000662AE">
      <w:pPr>
        <w:spacing w:after="227" w:line="259" w:lineRule="auto"/>
        <w:ind w:left="641" w:firstLine="0"/>
      </w:pPr>
      <w:r>
        <w:t>成本法，是指投资按照投资成本计量的方法。</w:t>
      </w:r>
      <w:r>
        <w:rPr>
          <w:rFonts w:ascii="Times New Roman" w:eastAsia="Times New Roman" w:hAnsi="Times New Roman" w:cs="Times New Roman"/>
        </w:rPr>
        <w:t xml:space="preserve"> </w:t>
      </w:r>
    </w:p>
    <w:p w:rsidR="00614857" w:rsidRDefault="000662AE">
      <w:pPr>
        <w:ind w:left="-15"/>
      </w:pPr>
      <w:r>
        <w:t>权益法，是指投资最初以投资成本计量，以后根据政府会计主体在被投资单位所享有的所有者权益份额的变动对投资的账面余额进行调整的方法。</w:t>
      </w:r>
      <w:r>
        <w:rPr>
          <w:rFonts w:ascii="Times New Roman" w:eastAsia="Times New Roman" w:hAnsi="Times New Roman" w:cs="Times New Roman"/>
        </w:rPr>
        <w:t xml:space="preserve"> </w:t>
      </w:r>
    </w:p>
    <w:p w:rsidR="00614857" w:rsidRDefault="000662AE">
      <w:pPr>
        <w:ind w:left="-15"/>
      </w:pPr>
      <w:r>
        <w:t>第十六条</w:t>
      </w:r>
      <w:r>
        <w:rPr>
          <w:rFonts w:ascii="Times New Roman" w:eastAsia="Times New Roman" w:hAnsi="Times New Roman" w:cs="Times New Roman"/>
        </w:rPr>
        <w:t xml:space="preserve"> </w:t>
      </w:r>
      <w:r>
        <w:t>在成本法下，长期股权投资的账面余额通常保持不变，但追加或收回投资时，应当相应调整其账面余额。</w:t>
      </w:r>
      <w:r>
        <w:rPr>
          <w:rFonts w:ascii="Times New Roman" w:eastAsia="Times New Roman" w:hAnsi="Times New Roman" w:cs="Times New Roman"/>
        </w:rPr>
        <w:t xml:space="preserve"> </w:t>
      </w:r>
    </w:p>
    <w:p w:rsidR="00614857" w:rsidRDefault="000662AE">
      <w:pPr>
        <w:ind w:left="-15"/>
      </w:pPr>
      <w:r>
        <w:t>长期股权投资持有期间，被投资单位宣告分派的现金股利或利润，政府会计主体应当按照宣告分派的现金股利或利润中属于政府会计主体应享有的份额确认为投资收益。</w:t>
      </w:r>
      <w:r>
        <w:rPr>
          <w:rFonts w:ascii="Times New Roman" w:eastAsia="Times New Roman" w:hAnsi="Times New Roman" w:cs="Times New Roman"/>
        </w:rPr>
        <w:t xml:space="preserve"> </w:t>
      </w:r>
    </w:p>
    <w:p w:rsidR="00614857" w:rsidRDefault="000662AE">
      <w:pPr>
        <w:spacing w:after="213" w:line="259" w:lineRule="auto"/>
        <w:ind w:left="10" w:right="4" w:hanging="10"/>
        <w:jc w:val="right"/>
      </w:pPr>
      <w:r>
        <w:t>第十七条</w:t>
      </w:r>
      <w:r>
        <w:rPr>
          <w:rFonts w:ascii="Times New Roman" w:eastAsia="Times New Roman" w:hAnsi="Times New Roman" w:cs="Times New Roman"/>
        </w:rPr>
        <w:t xml:space="preserve"> </w:t>
      </w:r>
      <w:r>
        <w:t>采用权益法的，按照如下原则进行会计处理：</w:t>
      </w:r>
      <w:r>
        <w:rPr>
          <w:rFonts w:ascii="Times New Roman" w:eastAsia="Times New Roman" w:hAnsi="Times New Roman" w:cs="Times New Roman"/>
        </w:rPr>
        <w:t xml:space="preserve"> </w:t>
      </w:r>
    </w:p>
    <w:p w:rsidR="00614857" w:rsidRDefault="000662AE">
      <w:pPr>
        <w:numPr>
          <w:ilvl w:val="0"/>
          <w:numId w:val="2"/>
        </w:numPr>
      </w:pPr>
      <w:r>
        <w:t>政府会计主体取得长期股权投资后，对于被投资单位所有者权益的变动，应当按照下列规定进行处理：</w:t>
      </w:r>
      <w:r>
        <w:rPr>
          <w:rFonts w:ascii="Times New Roman" w:eastAsia="Times New Roman" w:hAnsi="Times New Roman" w:cs="Times New Roman"/>
        </w:rPr>
        <w:t xml:space="preserve"> </w:t>
      </w:r>
    </w:p>
    <w:p w:rsidR="00614857" w:rsidRDefault="000662AE">
      <w:pPr>
        <w:ind w:left="-15"/>
      </w:pPr>
      <w:r>
        <w:rPr>
          <w:rFonts w:ascii="Times New Roman" w:eastAsia="Times New Roman" w:hAnsi="Times New Roman" w:cs="Times New Roman"/>
        </w:rPr>
        <w:lastRenderedPageBreak/>
        <w:t>1.</w:t>
      </w:r>
      <w:r>
        <w:t>按照应享有或应分担的被投资单位实现的净损益的份额，确认为投资损益，同时调整长期股权投资的账面余额。</w:t>
      </w:r>
      <w:r>
        <w:rPr>
          <w:rFonts w:ascii="Times New Roman" w:eastAsia="Times New Roman" w:hAnsi="Times New Roman" w:cs="Times New Roman"/>
        </w:rPr>
        <w:t xml:space="preserve"> </w:t>
      </w:r>
    </w:p>
    <w:p w:rsidR="00614857" w:rsidRDefault="000662AE">
      <w:pPr>
        <w:spacing w:after="23" w:line="390" w:lineRule="auto"/>
        <w:ind w:left="10" w:right="153" w:hanging="10"/>
        <w:jc w:val="right"/>
      </w:pPr>
      <w:r>
        <w:rPr>
          <w:rFonts w:ascii="Times New Roman" w:eastAsia="Times New Roman" w:hAnsi="Times New Roman" w:cs="Times New Roman"/>
        </w:rPr>
        <w:t>2.</w:t>
      </w:r>
      <w:r>
        <w:t>按照被投资单位宣告分派的现金股利或利润计算应享有的份额，确认为应收股利，同时减少长期股权投资的账面余额。</w:t>
      </w:r>
      <w:r>
        <w:rPr>
          <w:rFonts w:ascii="Times New Roman" w:eastAsia="Times New Roman" w:hAnsi="Times New Roman" w:cs="Times New Roman"/>
        </w:rPr>
        <w:t xml:space="preserve"> </w:t>
      </w:r>
    </w:p>
    <w:p w:rsidR="00614857" w:rsidRDefault="000662AE">
      <w:pPr>
        <w:spacing w:after="7" w:line="394" w:lineRule="auto"/>
        <w:ind w:right="164" w:firstLine="641"/>
        <w:jc w:val="both"/>
      </w:pPr>
      <w:r>
        <w:rPr>
          <w:rFonts w:ascii="Times New Roman" w:eastAsia="Times New Roman" w:hAnsi="Times New Roman" w:cs="Times New Roman"/>
        </w:rPr>
        <w:t>3.</w:t>
      </w:r>
      <w:r>
        <w:t>按照被投资单位除净损益和利润分配以外的所有者权益变动的份额，确认为净资产，同时调整长期股权投资的账面余额。</w:t>
      </w:r>
      <w:r>
        <w:rPr>
          <w:rFonts w:ascii="Times New Roman" w:eastAsia="Times New Roman" w:hAnsi="Times New Roman" w:cs="Times New Roman"/>
        </w:rPr>
        <w:t xml:space="preserve"> </w:t>
      </w:r>
    </w:p>
    <w:p w:rsidR="00614857" w:rsidRDefault="000662AE">
      <w:pPr>
        <w:numPr>
          <w:ilvl w:val="0"/>
          <w:numId w:val="2"/>
        </w:numPr>
      </w:pPr>
      <w:r>
        <w:t>政府会计主体确认被投资单位发生的净亏损，应当以长期股权投资的账面余额减记至零为限，政府</w:t>
      </w:r>
      <w:r>
        <w:t>会计主体负有承担额外损失义务的除外。</w:t>
      </w:r>
      <w:r>
        <w:rPr>
          <w:rFonts w:ascii="Times New Roman" w:eastAsia="Times New Roman" w:hAnsi="Times New Roman" w:cs="Times New Roman"/>
        </w:rPr>
        <w:t xml:space="preserve"> </w:t>
      </w:r>
    </w:p>
    <w:p w:rsidR="00614857" w:rsidRDefault="000662AE">
      <w:pPr>
        <w:ind w:left="-15"/>
      </w:pPr>
      <w:r>
        <w:t>被投资单位发生净亏损，但以后年度又实现净利润的，政府会计主体应当在其收益分享额弥补未确认的亏损分担额等后，恢复确认投资收益。</w:t>
      </w:r>
      <w:r>
        <w:rPr>
          <w:rFonts w:ascii="Times New Roman" w:eastAsia="Times New Roman" w:hAnsi="Times New Roman" w:cs="Times New Roman"/>
        </w:rPr>
        <w:t xml:space="preserve"> </w:t>
      </w:r>
    </w:p>
    <w:p w:rsidR="00614857" w:rsidRDefault="000662AE">
      <w:pPr>
        <w:ind w:left="-15"/>
      </w:pPr>
      <w:r>
        <w:lastRenderedPageBreak/>
        <w:t>第十八条</w:t>
      </w:r>
      <w:r>
        <w:rPr>
          <w:rFonts w:ascii="Times New Roman" w:eastAsia="Times New Roman" w:hAnsi="Times New Roman" w:cs="Times New Roman"/>
        </w:rPr>
        <w:t xml:space="preserve"> </w:t>
      </w:r>
      <w:r>
        <w:t>政府会计主体因处置部分长期股权投资等原因无权再决定被投资单位的财务和经营政策或者参与被投资单位的财务和经营政策决策的，应当对处置后的剩余股权投资改按成本法核算，并以该剩余股权投资在权益法下的账面余额作为按照成本法核算的初始投资成本。其后，被投资单位宣告分派现金股利或利润时，属于已计入投资账面余额的部分，作为成本法下长期股权投资成本的</w:t>
      </w:r>
      <w:r>
        <w:t>收回，冲减长期股权投资的账面余额。</w:t>
      </w:r>
      <w:r>
        <w:rPr>
          <w:rFonts w:ascii="Times New Roman" w:eastAsia="Times New Roman" w:hAnsi="Times New Roman" w:cs="Times New Roman"/>
        </w:rPr>
        <w:t xml:space="preserve"> </w:t>
      </w:r>
    </w:p>
    <w:p w:rsidR="00614857" w:rsidRDefault="000662AE">
      <w:pPr>
        <w:ind w:left="-15"/>
      </w:pPr>
      <w:r>
        <w:t>政府会计主体因追加投资等原因对长期股权投资的核算从成本法改为权益法的，应当自有权决定被投资单位的财务和经营政策或者参与被投资单位的财务和经营政策决策时，按成本法下长期股权投资的账面余额加上追加投资的成本作为按照权益法核算的初始投资成本。</w:t>
      </w:r>
      <w:r>
        <w:rPr>
          <w:rFonts w:ascii="Times New Roman" w:eastAsia="Times New Roman" w:hAnsi="Times New Roman" w:cs="Times New Roman"/>
        </w:rPr>
        <w:t xml:space="preserve"> </w:t>
      </w:r>
    </w:p>
    <w:p w:rsidR="00614857" w:rsidRDefault="000662AE">
      <w:pPr>
        <w:ind w:left="-15"/>
      </w:pPr>
      <w:r>
        <w:t>第十九条</w:t>
      </w:r>
      <w:r>
        <w:rPr>
          <w:rFonts w:ascii="Times New Roman" w:eastAsia="Times New Roman" w:hAnsi="Times New Roman" w:cs="Times New Roman"/>
        </w:rPr>
        <w:t xml:space="preserve"> </w:t>
      </w:r>
      <w:r>
        <w:t>政府会计主体按规定报经批准处置长期股权投资，应当冲减长期股权投资的账面余额，并按规定将处置价</w:t>
      </w:r>
      <w:r>
        <w:lastRenderedPageBreak/>
        <w:t>款扣除相关税费后的余额作应缴款项处理，或者按规定将处置价款扣除相关税费后的余额与长期股权投资账面余额的差额计入当期投资损益。</w:t>
      </w:r>
      <w:r>
        <w:rPr>
          <w:rFonts w:ascii="Times New Roman" w:eastAsia="Times New Roman" w:hAnsi="Times New Roman" w:cs="Times New Roman"/>
        </w:rPr>
        <w:t xml:space="preserve"> </w:t>
      </w:r>
    </w:p>
    <w:p w:rsidR="00614857" w:rsidRDefault="000662AE">
      <w:pPr>
        <w:ind w:left="-15"/>
      </w:pPr>
      <w:r>
        <w:t>采用</w:t>
      </w:r>
      <w:r>
        <w:t>权益法核算的长期股权投资，因被投资单位除净损益和利润分配以外的所有者权益变动而将应享有的份额计入净资产的，处置该项投资时，还应当将原计入净资产的相应部分转入当期投资损益。</w:t>
      </w:r>
      <w:r>
        <w:rPr>
          <w:rFonts w:ascii="Times New Roman" w:eastAsia="Times New Roman" w:hAnsi="Times New Roman" w:cs="Times New Roman"/>
        </w:rPr>
        <w:t xml:space="preserve"> </w:t>
      </w:r>
    </w:p>
    <w:p w:rsidR="00614857" w:rsidRDefault="000662AE">
      <w:pPr>
        <w:spacing w:after="229" w:line="259" w:lineRule="auto"/>
        <w:ind w:firstLine="0"/>
      </w:pPr>
      <w:r>
        <w:rPr>
          <w:rFonts w:ascii="Times New Roman" w:eastAsia="Times New Roman" w:hAnsi="Times New Roman" w:cs="Times New Roman"/>
          <w:b/>
        </w:rPr>
        <w:t xml:space="preserve"> </w:t>
      </w:r>
    </w:p>
    <w:p w:rsidR="00614857" w:rsidRDefault="000662AE">
      <w:pPr>
        <w:pStyle w:val="1"/>
        <w:ind w:right="163"/>
      </w:pPr>
      <w:r>
        <w:t>第四章</w:t>
      </w:r>
      <w:r>
        <w:rPr>
          <w:rFonts w:ascii="Times New Roman" w:eastAsia="Times New Roman" w:hAnsi="Times New Roman" w:cs="Times New Roman"/>
        </w:rPr>
        <w:t xml:space="preserve">  </w:t>
      </w:r>
      <w:r>
        <w:t>投资的披露</w:t>
      </w:r>
      <w:r>
        <w:rPr>
          <w:rFonts w:ascii="Times New Roman" w:eastAsia="Times New Roman" w:hAnsi="Times New Roman" w:cs="Times New Roman"/>
        </w:rPr>
        <w:t xml:space="preserve"> </w:t>
      </w:r>
    </w:p>
    <w:p w:rsidR="00614857" w:rsidRDefault="000662AE">
      <w:pPr>
        <w:ind w:left="-15"/>
      </w:pPr>
      <w:r>
        <w:t>第二十条</w:t>
      </w:r>
      <w:r>
        <w:rPr>
          <w:rFonts w:ascii="Times New Roman" w:eastAsia="Times New Roman" w:hAnsi="Times New Roman" w:cs="Times New Roman"/>
        </w:rPr>
        <w:t xml:space="preserve"> </w:t>
      </w:r>
      <w:r>
        <w:t>政府会计主体应当在附注中披露与投资有关的下列信息：</w:t>
      </w:r>
      <w:r>
        <w:rPr>
          <w:rFonts w:ascii="Times New Roman" w:eastAsia="Times New Roman" w:hAnsi="Times New Roman" w:cs="Times New Roman"/>
        </w:rPr>
        <w:t xml:space="preserve"> </w:t>
      </w:r>
    </w:p>
    <w:p w:rsidR="00614857" w:rsidRDefault="000662AE">
      <w:pPr>
        <w:numPr>
          <w:ilvl w:val="0"/>
          <w:numId w:val="3"/>
        </w:numPr>
        <w:spacing w:after="228" w:line="259" w:lineRule="auto"/>
        <w:ind w:firstLine="480"/>
      </w:pPr>
      <w:r>
        <w:t>短期投资的增减变动及期初、期末账面余额。</w:t>
      </w:r>
      <w:r>
        <w:rPr>
          <w:rFonts w:ascii="Times New Roman" w:eastAsia="Times New Roman" w:hAnsi="Times New Roman" w:cs="Times New Roman"/>
        </w:rPr>
        <w:t xml:space="preserve"> </w:t>
      </w:r>
    </w:p>
    <w:p w:rsidR="00614857" w:rsidRDefault="000662AE">
      <w:pPr>
        <w:numPr>
          <w:ilvl w:val="0"/>
          <w:numId w:val="3"/>
        </w:numPr>
        <w:ind w:firstLine="480"/>
      </w:pPr>
      <w:r>
        <w:t>各类长期债权投资和长期股权投资的增减变动及期初、期末账面余额。</w:t>
      </w:r>
      <w:r>
        <w:rPr>
          <w:rFonts w:ascii="Times New Roman" w:eastAsia="Times New Roman" w:hAnsi="Times New Roman" w:cs="Times New Roman"/>
        </w:rPr>
        <w:t xml:space="preserve"> </w:t>
      </w:r>
    </w:p>
    <w:p w:rsidR="00614857" w:rsidRDefault="000662AE">
      <w:pPr>
        <w:numPr>
          <w:ilvl w:val="0"/>
          <w:numId w:val="3"/>
        </w:numPr>
        <w:spacing w:after="227" w:line="259" w:lineRule="auto"/>
        <w:ind w:firstLine="480"/>
      </w:pPr>
      <w:r>
        <w:lastRenderedPageBreak/>
        <w:t>长期股权投资的投资对象及核算方法。</w:t>
      </w:r>
      <w:r>
        <w:rPr>
          <w:rFonts w:ascii="Times New Roman" w:eastAsia="Times New Roman" w:hAnsi="Times New Roman" w:cs="Times New Roman"/>
        </w:rPr>
        <w:t xml:space="preserve"> </w:t>
      </w:r>
    </w:p>
    <w:p w:rsidR="00614857" w:rsidRDefault="000662AE">
      <w:pPr>
        <w:numPr>
          <w:ilvl w:val="0"/>
          <w:numId w:val="3"/>
        </w:numPr>
        <w:ind w:firstLine="480"/>
      </w:pPr>
      <w:r>
        <w:t>当期发生的投资净损益，其中重大的投资净损益项目应当单独披露。</w:t>
      </w:r>
      <w:r>
        <w:rPr>
          <w:rFonts w:ascii="Times New Roman" w:eastAsia="Times New Roman" w:hAnsi="Times New Roman" w:cs="Times New Roman"/>
        </w:rPr>
        <w:t xml:space="preserve"> </w:t>
      </w:r>
    </w:p>
    <w:p w:rsidR="00614857" w:rsidRDefault="000662AE">
      <w:pPr>
        <w:spacing w:after="0" w:line="259" w:lineRule="auto"/>
        <w:ind w:left="480" w:firstLine="0"/>
      </w:pPr>
      <w:r>
        <w:rPr>
          <w:rFonts w:ascii="Times New Roman" w:eastAsia="Times New Roman" w:hAnsi="Times New Roman" w:cs="Times New Roman"/>
        </w:rPr>
        <w:t xml:space="preserve"> </w:t>
      </w:r>
    </w:p>
    <w:p w:rsidR="00614857" w:rsidRDefault="000662AE">
      <w:pPr>
        <w:pStyle w:val="1"/>
        <w:ind w:right="163"/>
      </w:pPr>
      <w:r>
        <w:t>第五章</w:t>
      </w:r>
      <w:r>
        <w:rPr>
          <w:rFonts w:ascii="Times New Roman" w:eastAsia="Times New Roman" w:hAnsi="Times New Roman" w:cs="Times New Roman"/>
        </w:rPr>
        <w:t xml:space="preserve">  </w:t>
      </w:r>
      <w:r>
        <w:t>附</w:t>
      </w:r>
      <w:r>
        <w:rPr>
          <w:rFonts w:ascii="Times New Roman" w:eastAsia="Times New Roman" w:hAnsi="Times New Roman" w:cs="Times New Roman"/>
        </w:rPr>
        <w:t xml:space="preserve">  </w:t>
      </w:r>
      <w:r>
        <w:t>则</w:t>
      </w:r>
      <w:r>
        <w:rPr>
          <w:rFonts w:ascii="Times New Roman" w:eastAsia="Times New Roman" w:hAnsi="Times New Roman" w:cs="Times New Roman"/>
        </w:rPr>
        <w:t xml:space="preserve"> </w:t>
      </w:r>
    </w:p>
    <w:p w:rsidR="00614857" w:rsidRDefault="000662AE">
      <w:pPr>
        <w:spacing w:line="259" w:lineRule="auto"/>
        <w:ind w:left="-15" w:firstLine="0"/>
      </w:pPr>
      <w:r>
        <w:t xml:space="preserve">  </w:t>
      </w:r>
      <w:r>
        <w:t>第二十一条</w:t>
      </w:r>
      <w:r>
        <w:rPr>
          <w:rFonts w:ascii="Times New Roman" w:eastAsia="Times New Roman" w:hAnsi="Times New Roman" w:cs="Times New Roman"/>
        </w:rPr>
        <w:t xml:space="preserve"> </w:t>
      </w:r>
      <w:r>
        <w:t>本准则自</w:t>
      </w:r>
      <w:r>
        <w:t xml:space="preserve"> </w:t>
      </w:r>
      <w:r>
        <w:rPr>
          <w:rFonts w:ascii="Times New Roman" w:eastAsia="Times New Roman" w:hAnsi="Times New Roman" w:cs="Times New Roman"/>
        </w:rPr>
        <w:t xml:space="preserve">2017 </w:t>
      </w:r>
      <w:r>
        <w:t>年</w:t>
      </w:r>
      <w:r>
        <w:t xml:space="preserve"> </w:t>
      </w:r>
      <w:r>
        <w:rPr>
          <w:rFonts w:ascii="Times New Roman" w:eastAsia="Times New Roman" w:hAnsi="Times New Roman" w:cs="Times New Roman"/>
        </w:rPr>
        <w:t xml:space="preserve">1 </w:t>
      </w:r>
      <w:r>
        <w:t>月</w:t>
      </w:r>
      <w:r>
        <w:t xml:space="preserve"> </w:t>
      </w:r>
      <w:r>
        <w:rPr>
          <w:rFonts w:ascii="Times New Roman" w:eastAsia="Times New Roman" w:hAnsi="Times New Roman" w:cs="Times New Roman"/>
        </w:rPr>
        <w:t xml:space="preserve">1 </w:t>
      </w:r>
      <w:r>
        <w:t>日起施行。</w:t>
      </w:r>
      <w:r>
        <w:rPr>
          <w:rFonts w:ascii="Times New Roman" w:eastAsia="Times New Roman" w:hAnsi="Times New Roman" w:cs="Times New Roman"/>
        </w:rPr>
        <w:t xml:space="preserve"> </w:t>
      </w:r>
    </w:p>
    <w:sectPr w:rsidR="00614857">
      <w:footerReference w:type="even" r:id="rId7"/>
      <w:footerReference w:type="default" r:id="rId8"/>
      <w:footerReference w:type="first" r:id="rId9"/>
      <w:pgSz w:w="11906" w:h="16838"/>
      <w:pgMar w:top="1589" w:right="1637" w:bottom="1801" w:left="1800" w:header="720" w:footer="99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2AE" w:rsidRDefault="000662AE">
      <w:pPr>
        <w:spacing w:after="0" w:line="240" w:lineRule="auto"/>
      </w:pPr>
      <w:r>
        <w:separator/>
      </w:r>
    </w:p>
  </w:endnote>
  <w:endnote w:type="continuationSeparator" w:id="0">
    <w:p w:rsidR="000662AE" w:rsidRDefault="00066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857" w:rsidRDefault="000662AE">
    <w:pPr>
      <w:spacing w:after="0" w:line="259" w:lineRule="auto"/>
      <w:ind w:right="164" w:firstLine="0"/>
      <w:jc w:val="center"/>
    </w:pPr>
    <w:r>
      <w:fldChar w:fldCharType="begin"/>
    </w:r>
    <w:r>
      <w:instrText xml:space="preserve"> PAGE   \* MERGEFORMAT </w:instrText>
    </w:r>
    <w:r>
      <w:fldChar w:fldCharType="separate"/>
    </w:r>
    <w:r>
      <w:rPr>
        <w:rFonts w:ascii="Calibri" w:eastAsia="Calibri" w:hAnsi="Calibri" w:cs="Calibri"/>
        <w:sz w:val="18"/>
      </w:rPr>
      <w:t>1</w:t>
    </w:r>
    <w:r>
      <w:rPr>
        <w:rFonts w:ascii="Calibri" w:eastAsia="Calibri" w:hAnsi="Calibri" w:cs="Calibri"/>
        <w:sz w:val="18"/>
      </w:rPr>
      <w:fldChar w:fldCharType="end"/>
    </w:r>
    <w:r>
      <w:rPr>
        <w:rFonts w:ascii="Calibri" w:eastAsia="Calibri" w:hAnsi="Calibri" w:cs="Calibri"/>
        <w:sz w:val="18"/>
      </w:rPr>
      <w:t xml:space="preserve"> </w:t>
    </w:r>
  </w:p>
  <w:p w:rsidR="00614857" w:rsidRDefault="000662AE">
    <w:pPr>
      <w:spacing w:after="0" w:line="259" w:lineRule="auto"/>
      <w:ind w:firstLine="0"/>
    </w:pPr>
    <w:r>
      <w:rPr>
        <w:rFonts w:ascii="Calibri" w:eastAsia="Calibri" w:hAnsi="Calibri" w:cs="Calibr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857" w:rsidRDefault="000662AE">
    <w:pPr>
      <w:spacing w:after="0" w:line="259" w:lineRule="auto"/>
      <w:ind w:right="164" w:firstLine="0"/>
      <w:jc w:val="center"/>
    </w:pPr>
    <w:r>
      <w:fldChar w:fldCharType="begin"/>
    </w:r>
    <w:r>
      <w:instrText xml:space="preserve"> PAGE   \* MERGEFORMAT </w:instrText>
    </w:r>
    <w:r>
      <w:fldChar w:fldCharType="separate"/>
    </w:r>
    <w:r w:rsidR="003150CD" w:rsidRPr="003150CD">
      <w:rPr>
        <w:rFonts w:ascii="Calibri" w:eastAsia="Calibri" w:hAnsi="Calibri" w:cs="Calibri"/>
        <w:noProof/>
        <w:sz w:val="18"/>
      </w:rPr>
      <w:t>5</w:t>
    </w:r>
    <w:r>
      <w:rPr>
        <w:rFonts w:ascii="Calibri" w:eastAsia="Calibri" w:hAnsi="Calibri" w:cs="Calibri"/>
        <w:sz w:val="18"/>
      </w:rPr>
      <w:fldChar w:fldCharType="end"/>
    </w:r>
    <w:r>
      <w:rPr>
        <w:rFonts w:ascii="Calibri" w:eastAsia="Calibri" w:hAnsi="Calibri" w:cs="Calibri"/>
        <w:sz w:val="18"/>
      </w:rPr>
      <w:t xml:space="preserve"> </w:t>
    </w:r>
  </w:p>
  <w:p w:rsidR="00614857" w:rsidRDefault="000662AE">
    <w:pPr>
      <w:spacing w:after="0" w:line="259" w:lineRule="auto"/>
      <w:ind w:firstLine="0"/>
    </w:pPr>
    <w:r>
      <w:rPr>
        <w:rFonts w:ascii="Calibri" w:eastAsia="Calibri" w:hAnsi="Calibri" w:cs="Calibri"/>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857" w:rsidRDefault="000662AE">
    <w:pPr>
      <w:spacing w:after="0" w:line="259" w:lineRule="auto"/>
      <w:ind w:right="164" w:firstLine="0"/>
      <w:jc w:val="center"/>
    </w:pPr>
    <w:r>
      <w:fldChar w:fldCharType="begin"/>
    </w:r>
    <w:r>
      <w:instrText xml:space="preserve"> PAGE   \* MERGEFORMAT </w:instrText>
    </w:r>
    <w:r>
      <w:fldChar w:fldCharType="separate"/>
    </w:r>
    <w:r>
      <w:rPr>
        <w:rFonts w:ascii="Calibri" w:eastAsia="Calibri" w:hAnsi="Calibri" w:cs="Calibri"/>
        <w:sz w:val="18"/>
      </w:rPr>
      <w:t>1</w:t>
    </w:r>
    <w:r>
      <w:rPr>
        <w:rFonts w:ascii="Calibri" w:eastAsia="Calibri" w:hAnsi="Calibri" w:cs="Calibri"/>
        <w:sz w:val="18"/>
      </w:rPr>
      <w:fldChar w:fldCharType="end"/>
    </w:r>
    <w:r>
      <w:rPr>
        <w:rFonts w:ascii="Calibri" w:eastAsia="Calibri" w:hAnsi="Calibri" w:cs="Calibri"/>
        <w:sz w:val="18"/>
      </w:rPr>
      <w:t xml:space="preserve"> </w:t>
    </w:r>
  </w:p>
  <w:p w:rsidR="00614857" w:rsidRDefault="000662AE">
    <w:pPr>
      <w:spacing w:after="0" w:line="259" w:lineRule="auto"/>
      <w:ind w:firstLine="0"/>
    </w:pPr>
    <w:r>
      <w:rPr>
        <w:rFonts w:ascii="Calibri" w:eastAsia="Calibri" w:hAnsi="Calibri" w:cs="Calibri"/>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2AE" w:rsidRDefault="000662AE">
      <w:pPr>
        <w:spacing w:after="0" w:line="240" w:lineRule="auto"/>
      </w:pPr>
      <w:r>
        <w:separator/>
      </w:r>
    </w:p>
  </w:footnote>
  <w:footnote w:type="continuationSeparator" w:id="0">
    <w:p w:rsidR="000662AE" w:rsidRDefault="000662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875C0D"/>
    <w:multiLevelType w:val="hybridMultilevel"/>
    <w:tmpl w:val="48D6B8D6"/>
    <w:lvl w:ilvl="0" w:tplc="6EDA3622">
      <w:start w:val="1"/>
      <w:numFmt w:val="ideographDigital"/>
      <w:lvlText w:val="（%1）"/>
      <w:lvlJc w:val="left"/>
      <w:pPr>
        <w:ind w:left="0"/>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1" w:tplc="384E9886">
      <w:start w:val="1"/>
      <w:numFmt w:val="lowerLetter"/>
      <w:lvlText w:val="%2"/>
      <w:lvlJc w:val="left"/>
      <w:pPr>
        <w:ind w:left="1718"/>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2" w:tplc="DAD47E10">
      <w:start w:val="1"/>
      <w:numFmt w:val="lowerRoman"/>
      <w:lvlText w:val="%3"/>
      <w:lvlJc w:val="left"/>
      <w:pPr>
        <w:ind w:left="2438"/>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3" w:tplc="A12ED378">
      <w:start w:val="1"/>
      <w:numFmt w:val="decimal"/>
      <w:lvlText w:val="%4"/>
      <w:lvlJc w:val="left"/>
      <w:pPr>
        <w:ind w:left="3158"/>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4" w:tplc="581820B4">
      <w:start w:val="1"/>
      <w:numFmt w:val="lowerLetter"/>
      <w:lvlText w:val="%5"/>
      <w:lvlJc w:val="left"/>
      <w:pPr>
        <w:ind w:left="3878"/>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5" w:tplc="1EEA36B4">
      <w:start w:val="1"/>
      <w:numFmt w:val="lowerRoman"/>
      <w:lvlText w:val="%6"/>
      <w:lvlJc w:val="left"/>
      <w:pPr>
        <w:ind w:left="4598"/>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6" w:tplc="14BCAF10">
      <w:start w:val="1"/>
      <w:numFmt w:val="decimal"/>
      <w:lvlText w:val="%7"/>
      <w:lvlJc w:val="left"/>
      <w:pPr>
        <w:ind w:left="5318"/>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7" w:tplc="6D9085EA">
      <w:start w:val="1"/>
      <w:numFmt w:val="lowerLetter"/>
      <w:lvlText w:val="%8"/>
      <w:lvlJc w:val="left"/>
      <w:pPr>
        <w:ind w:left="6038"/>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8" w:tplc="C49E9D14">
      <w:start w:val="1"/>
      <w:numFmt w:val="lowerRoman"/>
      <w:lvlText w:val="%9"/>
      <w:lvlJc w:val="left"/>
      <w:pPr>
        <w:ind w:left="6758"/>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404555D7"/>
    <w:multiLevelType w:val="hybridMultilevel"/>
    <w:tmpl w:val="A79E0836"/>
    <w:lvl w:ilvl="0" w:tplc="79984CD6">
      <w:start w:val="1"/>
      <w:numFmt w:val="ideographDigital"/>
      <w:lvlText w:val="（%1）"/>
      <w:lvlJc w:val="left"/>
      <w:pPr>
        <w:ind w:left="480"/>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1" w:tplc="14205A70">
      <w:start w:val="1"/>
      <w:numFmt w:val="lowerLetter"/>
      <w:lvlText w:val="%2"/>
      <w:lvlJc w:val="left"/>
      <w:pPr>
        <w:ind w:left="1560"/>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2" w:tplc="EA00B1DC">
      <w:start w:val="1"/>
      <w:numFmt w:val="lowerRoman"/>
      <w:lvlText w:val="%3"/>
      <w:lvlJc w:val="left"/>
      <w:pPr>
        <w:ind w:left="2280"/>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3" w:tplc="E732F8DC">
      <w:start w:val="1"/>
      <w:numFmt w:val="decimal"/>
      <w:lvlText w:val="%4"/>
      <w:lvlJc w:val="left"/>
      <w:pPr>
        <w:ind w:left="3000"/>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4" w:tplc="DCDA4A6E">
      <w:start w:val="1"/>
      <w:numFmt w:val="lowerLetter"/>
      <w:lvlText w:val="%5"/>
      <w:lvlJc w:val="left"/>
      <w:pPr>
        <w:ind w:left="3720"/>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5" w:tplc="CC42AF70">
      <w:start w:val="1"/>
      <w:numFmt w:val="lowerRoman"/>
      <w:lvlText w:val="%6"/>
      <w:lvlJc w:val="left"/>
      <w:pPr>
        <w:ind w:left="4440"/>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6" w:tplc="CF0A4888">
      <w:start w:val="1"/>
      <w:numFmt w:val="decimal"/>
      <w:lvlText w:val="%7"/>
      <w:lvlJc w:val="left"/>
      <w:pPr>
        <w:ind w:left="5160"/>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7" w:tplc="DE8AE150">
      <w:start w:val="1"/>
      <w:numFmt w:val="lowerLetter"/>
      <w:lvlText w:val="%8"/>
      <w:lvlJc w:val="left"/>
      <w:pPr>
        <w:ind w:left="5880"/>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8" w:tplc="634606FC">
      <w:start w:val="1"/>
      <w:numFmt w:val="lowerRoman"/>
      <w:lvlText w:val="%9"/>
      <w:lvlJc w:val="left"/>
      <w:pPr>
        <w:ind w:left="6600"/>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62D02169"/>
    <w:multiLevelType w:val="hybridMultilevel"/>
    <w:tmpl w:val="BFE0790C"/>
    <w:lvl w:ilvl="0" w:tplc="3ADA0764">
      <w:start w:val="1"/>
      <w:numFmt w:val="ideographDigital"/>
      <w:lvlText w:val="（%1）"/>
      <w:lvlJc w:val="left"/>
      <w:pPr>
        <w:ind w:left="0"/>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1" w:tplc="FEA6B388">
      <w:start w:val="1"/>
      <w:numFmt w:val="lowerLetter"/>
      <w:lvlText w:val="%2"/>
      <w:lvlJc w:val="left"/>
      <w:pPr>
        <w:ind w:left="172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2" w:tplc="E500EBA0">
      <w:start w:val="1"/>
      <w:numFmt w:val="lowerRoman"/>
      <w:lvlText w:val="%3"/>
      <w:lvlJc w:val="left"/>
      <w:pPr>
        <w:ind w:left="244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3" w:tplc="0074A26C">
      <w:start w:val="1"/>
      <w:numFmt w:val="decimal"/>
      <w:lvlText w:val="%4"/>
      <w:lvlJc w:val="left"/>
      <w:pPr>
        <w:ind w:left="316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4" w:tplc="B502B66C">
      <w:start w:val="1"/>
      <w:numFmt w:val="lowerLetter"/>
      <w:lvlText w:val="%5"/>
      <w:lvlJc w:val="left"/>
      <w:pPr>
        <w:ind w:left="388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5" w:tplc="E51E6D50">
      <w:start w:val="1"/>
      <w:numFmt w:val="lowerRoman"/>
      <w:lvlText w:val="%6"/>
      <w:lvlJc w:val="left"/>
      <w:pPr>
        <w:ind w:left="460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6" w:tplc="102CDEDA">
      <w:start w:val="1"/>
      <w:numFmt w:val="decimal"/>
      <w:lvlText w:val="%7"/>
      <w:lvlJc w:val="left"/>
      <w:pPr>
        <w:ind w:left="532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7" w:tplc="167E63C4">
      <w:start w:val="1"/>
      <w:numFmt w:val="lowerLetter"/>
      <w:lvlText w:val="%8"/>
      <w:lvlJc w:val="left"/>
      <w:pPr>
        <w:ind w:left="604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8" w:tplc="F34EBD14">
      <w:start w:val="1"/>
      <w:numFmt w:val="lowerRoman"/>
      <w:lvlText w:val="%9"/>
      <w:lvlJc w:val="left"/>
      <w:pPr>
        <w:ind w:left="676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857"/>
    <w:rsid w:val="000662AE"/>
    <w:rsid w:val="003150CD"/>
    <w:rsid w:val="006148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8B413E-AB84-4187-930F-E581EBE08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1" w:line="396" w:lineRule="auto"/>
      <w:ind w:firstLine="638"/>
    </w:pPr>
    <w:rPr>
      <w:rFonts w:ascii="微软雅黑" w:eastAsia="微软雅黑" w:hAnsi="微软雅黑" w:cs="微软雅黑"/>
      <w:color w:val="000000"/>
      <w:sz w:val="32"/>
    </w:rPr>
  </w:style>
  <w:style w:type="paragraph" w:styleId="1">
    <w:name w:val="heading 1"/>
    <w:next w:val="a"/>
    <w:link w:val="1Char"/>
    <w:uiPriority w:val="9"/>
    <w:unhideWhenUsed/>
    <w:qFormat/>
    <w:pPr>
      <w:keepNext/>
      <w:keepLines/>
      <w:spacing w:after="233" w:line="259" w:lineRule="auto"/>
      <w:ind w:left="10" w:hanging="10"/>
      <w:jc w:val="center"/>
      <w:outlineLvl w:val="0"/>
    </w:pPr>
    <w:rPr>
      <w:rFonts w:ascii="微软雅黑" w:eastAsia="微软雅黑" w:hAnsi="微软雅黑" w:cs="微软雅黑"/>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Pr>
      <w:rFonts w:ascii="微软雅黑" w:eastAsia="微软雅黑" w:hAnsi="微软雅黑" w:cs="微软雅黑"/>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398</Words>
  <Characters>2272</Characters>
  <Application>Microsoft Office Word</Application>
  <DocSecurity>0</DocSecurity>
  <Lines>18</Lines>
  <Paragraphs>5</Paragraphs>
  <ScaleCrop>false</ScaleCrop>
  <Company>Microsoft</Company>
  <LinksUpToDate>false</LinksUpToDate>
  <CharactersWithSpaces>2665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政府会计准则第××号——投资</dc:title>
  <dc:subject/>
  <dc:creator>Microsoft</dc:creator>
  <cp:keywords/>
  <cp:lastModifiedBy>CY1002</cp:lastModifiedBy>
  <cp:revision>2</cp:revision>
  <dcterms:created xsi:type="dcterms:W3CDTF">2018-12-03T07:38:00Z</dcterms:created>
  <dcterms:modified xsi:type="dcterms:W3CDTF">2018-12-03T07:38:00Z</dcterms:modified>
</cp:coreProperties>
</file>