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B1" w:rsidRDefault="006309B1" w:rsidP="00DF7F96">
      <w:pPr>
        <w:rPr>
          <w:rFonts w:hint="eastAsia"/>
        </w:rPr>
      </w:pPr>
    </w:p>
    <w:tbl>
      <w:tblPr>
        <w:tblW w:w="42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43A5D" w:rsidRPr="00543A5D" w:rsidTr="00543A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附件：</w:t>
            </w:r>
          </w:p>
          <w:p w:rsidR="00543A5D" w:rsidRPr="00543A5D" w:rsidRDefault="00543A5D" w:rsidP="00543A5D">
            <w:pPr>
              <w:widowControl/>
              <w:spacing w:after="24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《政府会计准则第3号——固定资产》应用指南</w:t>
            </w:r>
            <w:bookmarkEnd w:id="0"/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43A5D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一、关于固定资产折旧年限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（一）通常情况下，政府会计主体应当按照表1规定确定各类应计提折旧的固定资产的折旧年限。</w:t>
            </w:r>
          </w:p>
          <w:p w:rsidR="00543A5D" w:rsidRPr="00543A5D" w:rsidRDefault="00543A5D" w:rsidP="00543A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表1：政府固定资产折旧年限表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1986"/>
              <w:gridCol w:w="2118"/>
              <w:gridCol w:w="1986"/>
            </w:tblGrid>
            <w:tr w:rsidR="00543A5D" w:rsidRPr="00543A5D" w:rsidTr="00543A5D"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固定资产类别</w:t>
                  </w: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内容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折旧年限（年）</w:t>
                  </w:r>
                </w:p>
              </w:tc>
            </w:tr>
            <w:tr w:rsidR="00543A5D" w:rsidRPr="00543A5D" w:rsidTr="00543A5D">
              <w:tc>
                <w:tcPr>
                  <w:tcW w:w="12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房屋及构筑物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业务及管理用房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钢结构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钢筋混凝土结构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砖混结构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不低于30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砖木结构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不低于30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简易房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不低于8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房屋附属设施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不低于8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构筑物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不低于8</w:t>
                  </w:r>
                </w:p>
              </w:tc>
            </w:tr>
            <w:tr w:rsidR="00543A5D" w:rsidRPr="00543A5D" w:rsidTr="00543A5D">
              <w:tc>
                <w:tcPr>
                  <w:tcW w:w="12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通用设备</w:t>
                  </w: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计算机设备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不低于6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办公设备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不低于6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车辆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不低于8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图书档案设备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机械设备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电气设备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雷达、无线电和卫星导航设备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通信设备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广播、电视、电影设备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仪器仪表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电子和通信测量设备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计量标准器具及量具、衡器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  <w:tr w:rsidR="00543A5D" w:rsidRPr="00543A5D" w:rsidTr="00543A5D">
              <w:tc>
                <w:tcPr>
                  <w:tcW w:w="12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专用设备</w:t>
                  </w: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探矿、采矿、选矿和</w:t>
                  </w:r>
                  <w:proofErr w:type="gramStart"/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>造块设备</w:t>
                  </w:r>
                  <w:proofErr w:type="gramEnd"/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石油天然气开采专用设备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石油和化学工业专用设备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炼焦和金属冶炼轧制设备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电力工业专用设备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20-30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非金属矿物制品工业专用设备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核工业专用设备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20-30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航空航天工业专用设备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20-30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工程机械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农业和林业机械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木材采集和加工设备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食品加工专用设备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饮料加工设备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烟草加工设备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粮油作物和饲料加工设备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纺织设备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缝纫、服饰、制革和毛皮加工设备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造纸和印刷机械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化学药品和中药专用设备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医疗设备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电工、电子专用生产设备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安全生产设备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邮政专用设备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环境污染防治设备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公安专用设备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3-10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水工机械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殡葬设备及用品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铁路运输设备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水上交通运输设备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航空器及其配套设备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10-20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专用仪器仪表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5-10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文艺设备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体育设备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娱乐设备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5-15</w:t>
                  </w:r>
                </w:p>
              </w:tc>
            </w:tr>
            <w:tr w:rsidR="00543A5D" w:rsidRPr="00543A5D" w:rsidTr="00543A5D">
              <w:tc>
                <w:tcPr>
                  <w:tcW w:w="12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家具、用具及装具</w:t>
                  </w: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家具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不低于15</w:t>
                  </w:r>
                </w:p>
              </w:tc>
            </w:tr>
            <w:tr w:rsidR="00543A5D" w:rsidRPr="00543A5D" w:rsidTr="00543A5D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用具、装具</w:t>
                  </w:r>
                </w:p>
              </w:tc>
              <w:tc>
                <w:tcPr>
                  <w:tcW w:w="1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43A5D" w:rsidRPr="00543A5D" w:rsidRDefault="00543A5D" w:rsidP="00543A5D">
                  <w:pPr>
                    <w:widowControl/>
                    <w:spacing w:after="240"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543A5D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 xml:space="preserve">　　不低于5</w:t>
                  </w:r>
                </w:p>
              </w:tc>
            </w:tr>
          </w:tbl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（二）国务院有关部门在遵循本应用指南中表1所规定的固定资产折旧年限的情况下，可以根据实际需要进一步细化本行业固定资产的类别，具体确定各类固定资产的折旧年限，并报财政部审核批准。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lastRenderedPageBreak/>
              <w:t xml:space="preserve">　　（三）政府会计主体应当在遵循本应用指南、主管部门有关折旧年限规定的情况下，根据固定资产的性质和实际使用情况，合理确定其折旧年限。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具体确定固定资产的折旧年限时，应当考虑下列因素：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1.固定资产预计实现服务潜力或提供经济利益的期限；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2.固定资产预计有形损耗和无形损耗；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3.法律或者类似规定对固定资产使用的限制。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（四）固定资产的折旧年限一经确定，不得随意变更。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因改建、扩建等原因而延长固定资产使用年限的，应当重新确定固定资产的折旧年限。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（五）政府会计主体盘盈、无偿调入、接受捐赠以及置换的固定资产，应当考虑该项资产的新旧程度，按照其尚可使用的年限计提折旧。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43A5D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二、关于固定资产折旧计提时点</w:t>
            </w:r>
          </w:p>
          <w:p w:rsidR="00543A5D" w:rsidRPr="00543A5D" w:rsidRDefault="00543A5D" w:rsidP="00543A5D">
            <w:pPr>
              <w:widowControl/>
              <w:spacing w:after="24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固定资产应当按月计提折旧，当月增加的固定资产，当月开始计提折旧；当月减少的固定资产，当月不再计提折旧。</w:t>
            </w:r>
          </w:p>
          <w:p w:rsidR="00543A5D" w:rsidRPr="00543A5D" w:rsidRDefault="00543A5D" w:rsidP="00543A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43A5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　　固定资产提足折旧后，无论能否继续使用，均不再计提折旧；提前报废的固定资产，也不再补提折旧。已提足折旧的固定资产，可以继续使用的，应当继续使用，规范实物管理。</w:t>
            </w:r>
          </w:p>
        </w:tc>
      </w:tr>
    </w:tbl>
    <w:p w:rsidR="00543A5D" w:rsidRPr="00543A5D" w:rsidRDefault="00543A5D">
      <w:pPr>
        <w:rPr>
          <w:rFonts w:hint="eastAsia"/>
        </w:rPr>
      </w:pPr>
    </w:p>
    <w:sectPr w:rsidR="00543A5D" w:rsidRPr="0054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66"/>
    <w:rsid w:val="002A7566"/>
    <w:rsid w:val="00543A5D"/>
    <w:rsid w:val="006309B1"/>
    <w:rsid w:val="00D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DEED1-9D72-430B-8AC4-2279395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CY1002</cp:lastModifiedBy>
  <cp:revision>3</cp:revision>
  <dcterms:created xsi:type="dcterms:W3CDTF">2018-10-15T12:38:00Z</dcterms:created>
  <dcterms:modified xsi:type="dcterms:W3CDTF">2018-12-03T06:32:00Z</dcterms:modified>
</cp:coreProperties>
</file>